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0E5E67" w14:textId="5932D693" w:rsidR="00483428" w:rsidRDefault="0060102D" w:rsidP="00C5580B">
      <w:pPr>
        <w:jc w:val="both"/>
        <w:rPr>
          <w:rFonts w:ascii="Comic Sans MS" w:hAnsi="Comic Sans MS"/>
          <w:u w:val="single"/>
        </w:rPr>
      </w:pPr>
      <w:r>
        <w:rPr>
          <w:rFonts w:ascii="Comic Sans MS" w:hAnsi="Comic Sans MS"/>
          <w:u w:val="single"/>
        </w:rPr>
        <w:t>1</w:t>
      </w:r>
      <w:r w:rsidR="00340EA6" w:rsidRPr="00340EA6">
        <w:rPr>
          <w:rFonts w:ascii="Comic Sans MS" w:hAnsi="Comic Sans MS"/>
          <w:u w:val="single"/>
        </w:rPr>
        <w:t>. Echelle de travail</w:t>
      </w:r>
    </w:p>
    <w:p w14:paraId="74B0F40B" w14:textId="7A78026C" w:rsidR="00A54CB1" w:rsidRPr="00340EA6" w:rsidRDefault="0060102D" w:rsidP="00C5580B">
      <w:pPr>
        <w:jc w:val="both"/>
        <w:rPr>
          <w:rFonts w:ascii="Comic Sans MS" w:hAnsi="Comic Sans MS"/>
          <w:u w:val="single"/>
        </w:rPr>
      </w:pPr>
      <w:r>
        <w:rPr>
          <w:rFonts w:ascii="Comic Sans MS" w:hAnsi="Comic Sans MS"/>
          <w:u w:val="single"/>
        </w:rPr>
        <w:t>1</w:t>
      </w:r>
      <w:r w:rsidR="00A54CB1">
        <w:rPr>
          <w:rFonts w:ascii="Comic Sans MS" w:hAnsi="Comic Sans MS"/>
          <w:u w:val="single"/>
        </w:rPr>
        <w:t>.1</w:t>
      </w:r>
      <w:r>
        <w:rPr>
          <w:rFonts w:ascii="Comic Sans MS" w:hAnsi="Comic Sans MS"/>
          <w:u w:val="single"/>
        </w:rPr>
        <w:t>.</w:t>
      </w:r>
      <w:r w:rsidR="00A54CB1">
        <w:rPr>
          <w:rFonts w:ascii="Comic Sans MS" w:hAnsi="Comic Sans MS"/>
          <w:u w:val="single"/>
        </w:rPr>
        <w:t xml:space="preserve">  Les liens avec la Wallonie</w:t>
      </w:r>
    </w:p>
    <w:p w14:paraId="5F1FAEED" w14:textId="319129A9" w:rsidR="00A54CB1" w:rsidRDefault="00C27A9F" w:rsidP="00A54CB1">
      <w:pPr>
        <w:jc w:val="both"/>
        <w:rPr>
          <w:rFonts w:ascii="Comic Sans MS" w:hAnsi="Comic Sans MS"/>
        </w:rPr>
      </w:pPr>
      <w:r>
        <w:rPr>
          <w:rFonts w:ascii="Comic Sans MS" w:hAnsi="Comic Sans MS"/>
        </w:rPr>
        <w:t xml:space="preserve">La première analyse descriptive des paysages du Parc naturel </w:t>
      </w:r>
      <w:r w:rsidR="00671E05">
        <w:rPr>
          <w:rFonts w:ascii="Comic Sans MS" w:hAnsi="Comic Sans MS"/>
        </w:rPr>
        <w:t xml:space="preserve">(6 communes fondatrices) </w:t>
      </w:r>
      <w:r>
        <w:rPr>
          <w:rFonts w:ascii="Comic Sans MS" w:hAnsi="Comic Sans MS"/>
        </w:rPr>
        <w:t xml:space="preserve">date de 2001. Elle est antérieure à la définition des territoires paysagers en Wallonie (2004). </w:t>
      </w:r>
      <w:r w:rsidR="00A54CB1">
        <w:rPr>
          <w:rFonts w:ascii="Comic Sans MS" w:hAnsi="Comic Sans MS"/>
        </w:rPr>
        <w:t>Pour des raisons d’antériorité du découpage, le nom d’entité paysagère a été choisi pour l’échelle correspondant au territoire paysager. Le nom de faciès a été gardé pour l’échelle plus fine. En 2010, cette analyse descriptive a été affinée.</w:t>
      </w:r>
    </w:p>
    <w:p w14:paraId="510EDB5B" w14:textId="40493199" w:rsidR="00A54CB1" w:rsidRDefault="00A54CB1" w:rsidP="00A54CB1">
      <w:pPr>
        <w:jc w:val="both"/>
        <w:rPr>
          <w:rFonts w:ascii="Comic Sans MS" w:hAnsi="Comic Sans MS"/>
        </w:rPr>
      </w:pPr>
      <w:r w:rsidRPr="00C5580B">
        <w:rPr>
          <w:rFonts w:ascii="Comic Sans MS" w:hAnsi="Comic Sans MS"/>
        </w:rPr>
        <w:t>L</w:t>
      </w:r>
      <w:r>
        <w:rPr>
          <w:rFonts w:ascii="Comic Sans MS" w:hAnsi="Comic Sans MS"/>
        </w:rPr>
        <w:t>e territoire</w:t>
      </w:r>
      <w:r w:rsidRPr="00C5580B">
        <w:rPr>
          <w:rFonts w:ascii="Comic Sans MS" w:hAnsi="Comic Sans MS"/>
        </w:rPr>
        <w:t xml:space="preserve"> </w:t>
      </w:r>
      <w:r>
        <w:rPr>
          <w:rFonts w:ascii="Comic Sans MS" w:hAnsi="Comic Sans MS"/>
        </w:rPr>
        <w:t>du Parc naturel</w:t>
      </w:r>
      <w:r w:rsidRPr="00C5580B">
        <w:rPr>
          <w:rFonts w:ascii="Comic Sans MS" w:hAnsi="Comic Sans MS"/>
        </w:rPr>
        <w:t xml:space="preserve"> appartien</w:t>
      </w:r>
      <w:r>
        <w:rPr>
          <w:rFonts w:ascii="Comic Sans MS" w:hAnsi="Comic Sans MS"/>
        </w:rPr>
        <w:t>t à deux ensembles paysagers : la Haine et la Sambre (</w:t>
      </w:r>
      <w:r w:rsidRPr="00C5580B">
        <w:rPr>
          <w:rFonts w:ascii="Comic Sans MS" w:hAnsi="Comic Sans MS"/>
        </w:rPr>
        <w:t xml:space="preserve">Atlas des Paysages de Wallonie </w:t>
      </w:r>
      <w:r>
        <w:rPr>
          <w:rFonts w:ascii="Comic Sans MS" w:hAnsi="Comic Sans MS"/>
        </w:rPr>
        <w:t>n°</w:t>
      </w:r>
      <w:r w:rsidRPr="00C5580B">
        <w:rPr>
          <w:rFonts w:ascii="Comic Sans MS" w:hAnsi="Comic Sans MS"/>
        </w:rPr>
        <w:t>4</w:t>
      </w:r>
      <w:r>
        <w:rPr>
          <w:rFonts w:ascii="Comic Sans MS" w:hAnsi="Comic Sans MS"/>
        </w:rPr>
        <w:t xml:space="preserve"> – 2013) et l</w:t>
      </w:r>
      <w:r w:rsidRPr="00B44AD6">
        <w:rPr>
          <w:rFonts w:ascii="Comic Sans MS" w:hAnsi="Comic Sans MS"/>
        </w:rPr>
        <w:t xml:space="preserve">a plaine et </w:t>
      </w:r>
      <w:r>
        <w:rPr>
          <w:rFonts w:ascii="Comic Sans MS" w:hAnsi="Comic Sans MS"/>
        </w:rPr>
        <w:t>le</w:t>
      </w:r>
      <w:r w:rsidRPr="00B44AD6">
        <w:rPr>
          <w:rFonts w:ascii="Comic Sans MS" w:hAnsi="Comic Sans MS"/>
        </w:rPr>
        <w:t xml:space="preserve"> bas-plateau limoneux hennuyers </w:t>
      </w:r>
      <w:r>
        <w:rPr>
          <w:rFonts w:ascii="Comic Sans MS" w:hAnsi="Comic Sans MS"/>
        </w:rPr>
        <w:t>(</w:t>
      </w:r>
      <w:r w:rsidRPr="00C5580B">
        <w:rPr>
          <w:rFonts w:ascii="Comic Sans MS" w:hAnsi="Comic Sans MS"/>
        </w:rPr>
        <w:t xml:space="preserve">Atlas des Paysages de Wallonie </w:t>
      </w:r>
      <w:r>
        <w:rPr>
          <w:rFonts w:ascii="Comic Sans MS" w:hAnsi="Comic Sans MS"/>
        </w:rPr>
        <w:t xml:space="preserve">n°7 – finalisation en cours en 2019). On est dans le cas de figure où </w:t>
      </w:r>
      <w:r w:rsidRPr="00C5580B">
        <w:rPr>
          <w:rFonts w:ascii="Comic Sans MS" w:hAnsi="Comic Sans MS"/>
        </w:rPr>
        <w:t>il n’exist</w:t>
      </w:r>
      <w:r>
        <w:rPr>
          <w:rFonts w:ascii="Comic Sans MS" w:hAnsi="Comic Sans MS"/>
        </w:rPr>
        <w:t>ait</w:t>
      </w:r>
      <w:r w:rsidRPr="00C5580B">
        <w:rPr>
          <w:rFonts w:ascii="Comic Sans MS" w:hAnsi="Comic Sans MS"/>
        </w:rPr>
        <w:t xml:space="preserve"> pas d’Atlas des paysages sur le territoire concerné</w:t>
      </w:r>
      <w:r>
        <w:rPr>
          <w:rFonts w:ascii="Comic Sans MS" w:hAnsi="Comic Sans MS"/>
        </w:rPr>
        <w:t xml:space="preserve"> lors de la définition des entités et faciès paysagers. </w:t>
      </w:r>
      <w:r w:rsidR="007D4C4F">
        <w:rPr>
          <w:rFonts w:ascii="Comic Sans MS" w:hAnsi="Comic Sans MS"/>
        </w:rPr>
        <w:t>A l’époque</w:t>
      </w:r>
      <w:r>
        <w:rPr>
          <w:rFonts w:ascii="Comic Sans MS" w:hAnsi="Comic Sans MS"/>
        </w:rPr>
        <w:t xml:space="preserve"> (2010)</w:t>
      </w:r>
      <w:r w:rsidR="007D4C4F">
        <w:rPr>
          <w:rFonts w:ascii="Comic Sans MS" w:hAnsi="Comic Sans MS"/>
        </w:rPr>
        <w:t>, la délimitation des entités et des faciès s’est particulièrement appu</w:t>
      </w:r>
      <w:r w:rsidR="008873EF">
        <w:rPr>
          <w:rFonts w:ascii="Comic Sans MS" w:hAnsi="Comic Sans MS"/>
        </w:rPr>
        <w:t>yée sur un critère physique lié</w:t>
      </w:r>
      <w:r w:rsidR="007D4C4F">
        <w:rPr>
          <w:rFonts w:ascii="Comic Sans MS" w:hAnsi="Comic Sans MS"/>
        </w:rPr>
        <w:t xml:space="preserve"> au relief : la délimitation des bassins versants. </w:t>
      </w:r>
      <w:r w:rsidRPr="00A54CB1">
        <w:rPr>
          <w:rFonts w:ascii="Comic Sans MS" w:hAnsi="Comic Sans MS"/>
        </w:rPr>
        <w:t xml:space="preserve">Les différences de limites </w:t>
      </w:r>
      <w:r>
        <w:rPr>
          <w:rFonts w:ascii="Comic Sans MS" w:hAnsi="Comic Sans MS"/>
        </w:rPr>
        <w:t xml:space="preserve">des entités paysagères par rapport aux territoires paysagers </w:t>
      </w:r>
      <w:r w:rsidRPr="00A54CB1">
        <w:rPr>
          <w:rFonts w:ascii="Comic Sans MS" w:hAnsi="Comic Sans MS"/>
        </w:rPr>
        <w:t xml:space="preserve">s’expliquent par l’antériorité de la division PNPE par rapport </w:t>
      </w:r>
      <w:r>
        <w:rPr>
          <w:rFonts w:ascii="Comic Sans MS" w:hAnsi="Comic Sans MS"/>
        </w:rPr>
        <w:t>au découpage wallon</w:t>
      </w:r>
      <w:r w:rsidRPr="00A54CB1">
        <w:rPr>
          <w:rFonts w:ascii="Comic Sans MS" w:hAnsi="Comic Sans MS"/>
        </w:rPr>
        <w:t>. Les noms on</w:t>
      </w:r>
      <w:r>
        <w:rPr>
          <w:rFonts w:ascii="Comic Sans MS" w:hAnsi="Comic Sans MS"/>
        </w:rPr>
        <w:t>t</w:t>
      </w:r>
      <w:r w:rsidRPr="00A54CB1">
        <w:rPr>
          <w:rFonts w:ascii="Comic Sans MS" w:hAnsi="Comic Sans MS"/>
        </w:rPr>
        <w:t xml:space="preserve"> été adaptés aux spécificités locales et mis en lien avec les vocations du territoire du PNPE.</w:t>
      </w:r>
      <w:r>
        <w:rPr>
          <w:rFonts w:ascii="Comic Sans MS" w:hAnsi="Comic Sans MS"/>
        </w:rPr>
        <w:t xml:space="preserve"> </w:t>
      </w:r>
    </w:p>
    <w:p w14:paraId="2813C613" w14:textId="01806857" w:rsidR="00A54CB1" w:rsidRDefault="00A54CB1" w:rsidP="00A54CB1">
      <w:pPr>
        <w:jc w:val="both"/>
        <w:rPr>
          <w:rFonts w:ascii="Comic Sans MS" w:hAnsi="Comic Sans MS"/>
        </w:rPr>
      </w:pPr>
      <w:r>
        <w:rPr>
          <w:rFonts w:ascii="Comic Sans MS" w:hAnsi="Comic Sans MS"/>
        </w:rPr>
        <w:t>Lors de la réalisation de l’</w:t>
      </w:r>
      <w:r w:rsidRPr="00A54CB1">
        <w:rPr>
          <w:rFonts w:ascii="Comic Sans MS" w:hAnsi="Comic Sans MS"/>
        </w:rPr>
        <w:t xml:space="preserve">Atlas des Paysages de Wallonie n°4 </w:t>
      </w:r>
      <w:r>
        <w:rPr>
          <w:rFonts w:ascii="Comic Sans MS" w:hAnsi="Comic Sans MS"/>
        </w:rPr>
        <w:t xml:space="preserve">consacré à </w:t>
      </w:r>
      <w:r w:rsidRPr="00A54CB1">
        <w:rPr>
          <w:rFonts w:ascii="Comic Sans MS" w:hAnsi="Comic Sans MS"/>
        </w:rPr>
        <w:t>la Haine et la Sambre 2013)</w:t>
      </w:r>
      <w:r>
        <w:rPr>
          <w:rFonts w:ascii="Comic Sans MS" w:hAnsi="Comic Sans MS"/>
        </w:rPr>
        <w:t>, des échanges ont eu lieu entre l’équipe de chercheurs de la CPDT et l’équipe technique du Parc naturel pour la dépression de la Basse Haine en particulier concernant les voies d’eau canalisées.</w:t>
      </w:r>
    </w:p>
    <w:tbl>
      <w:tblPr>
        <w:tblStyle w:val="Grilledutableau"/>
        <w:tblW w:w="0" w:type="auto"/>
        <w:tblLook w:val="04A0" w:firstRow="1" w:lastRow="0" w:firstColumn="1" w:lastColumn="0" w:noHBand="0" w:noVBand="1"/>
      </w:tblPr>
      <w:tblGrid>
        <w:gridCol w:w="9062"/>
      </w:tblGrid>
      <w:tr w:rsidR="00A54CB1" w14:paraId="5EAEE731" w14:textId="77777777" w:rsidTr="00A54CB1">
        <w:tc>
          <w:tcPr>
            <w:tcW w:w="9062" w:type="dxa"/>
          </w:tcPr>
          <w:p w14:paraId="40502BD8" w14:textId="01DB089A" w:rsidR="00A54CB1" w:rsidRDefault="00AD5BE8" w:rsidP="00AD5BE8">
            <w:pPr>
              <w:jc w:val="center"/>
              <w:rPr>
                <w:rFonts w:ascii="Comic Sans MS" w:hAnsi="Comic Sans MS"/>
              </w:rPr>
            </w:pPr>
            <w:r w:rsidRPr="00AD5BE8">
              <w:rPr>
                <w:rFonts w:ascii="Comic Sans MS" w:hAnsi="Comic Sans MS"/>
                <w:noProof/>
                <w:lang w:eastAsia="fr-BE"/>
              </w:rPr>
              <w:drawing>
                <wp:inline distT="0" distB="0" distL="0" distR="0" wp14:anchorId="3D0A1381" wp14:editId="352C9E27">
                  <wp:extent cx="5419915" cy="375666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2582" cy="3758509"/>
                          </a:xfrm>
                          <a:prstGeom prst="rect">
                            <a:avLst/>
                          </a:prstGeom>
                          <a:noFill/>
                          <a:ln>
                            <a:noFill/>
                          </a:ln>
                        </pic:spPr>
                      </pic:pic>
                    </a:graphicData>
                  </a:graphic>
                </wp:inline>
              </w:drawing>
            </w:r>
          </w:p>
        </w:tc>
      </w:tr>
    </w:tbl>
    <w:p w14:paraId="362F7426" w14:textId="6E8CC664" w:rsidR="00A54CB1" w:rsidRDefault="008E4AA8" w:rsidP="008E4AA8">
      <w:pPr>
        <w:pStyle w:val="Lgende"/>
        <w:jc w:val="center"/>
        <w:rPr>
          <w:rFonts w:ascii="Comic Sans MS" w:hAnsi="Comic Sans MS"/>
        </w:rPr>
      </w:pPr>
      <w:r>
        <w:t xml:space="preserve">Figure </w:t>
      </w:r>
      <w:r w:rsidR="00A97182">
        <w:rPr>
          <w:noProof/>
        </w:rPr>
        <w:fldChar w:fldCharType="begin"/>
      </w:r>
      <w:r w:rsidR="00A97182">
        <w:rPr>
          <w:noProof/>
        </w:rPr>
        <w:instrText xml:space="preserve"> SEQ Figure \* ARABIC </w:instrText>
      </w:r>
      <w:r w:rsidR="00A97182">
        <w:rPr>
          <w:noProof/>
        </w:rPr>
        <w:fldChar w:fldCharType="separate"/>
      </w:r>
      <w:r>
        <w:rPr>
          <w:noProof/>
        </w:rPr>
        <w:t>1</w:t>
      </w:r>
      <w:r w:rsidR="00A97182">
        <w:rPr>
          <w:noProof/>
        </w:rPr>
        <w:fldChar w:fldCharType="end"/>
      </w:r>
      <w:r>
        <w:t xml:space="preserve"> – Extraits de </w:t>
      </w:r>
      <w:r w:rsidRPr="008E4AA8">
        <w:t xml:space="preserve">la Haine et </w:t>
      </w:r>
      <w:r>
        <w:t xml:space="preserve">de la Sambre  - </w:t>
      </w:r>
      <w:r w:rsidRPr="008E4AA8">
        <w:t>Atla</w:t>
      </w:r>
      <w:r>
        <w:t>s des Paysages de Wallonie n°4</w:t>
      </w:r>
      <w:r w:rsidRPr="008E4AA8">
        <w:t xml:space="preserve"> </w:t>
      </w:r>
      <w:r>
        <w:t xml:space="preserve">(CPDT, </w:t>
      </w:r>
      <w:r w:rsidRPr="008E4AA8">
        <w:t>2013)</w:t>
      </w:r>
    </w:p>
    <w:p w14:paraId="7909D290" w14:textId="69A0EAFD" w:rsidR="00A54CB1" w:rsidRDefault="004976CF" w:rsidP="00C5580B">
      <w:pPr>
        <w:jc w:val="both"/>
        <w:rPr>
          <w:rFonts w:ascii="Comic Sans MS" w:hAnsi="Comic Sans MS"/>
        </w:rPr>
      </w:pPr>
      <w:r>
        <w:rPr>
          <w:rFonts w:ascii="Comic Sans MS" w:hAnsi="Comic Sans MS"/>
        </w:rPr>
        <w:lastRenderedPageBreak/>
        <w:t>La réalisation de l’</w:t>
      </w:r>
      <w:r w:rsidRPr="00A54CB1">
        <w:rPr>
          <w:rFonts w:ascii="Comic Sans MS" w:hAnsi="Comic Sans MS"/>
        </w:rPr>
        <w:t>Atlas des Paysages de Wallonie n°</w:t>
      </w:r>
      <w:r>
        <w:rPr>
          <w:rFonts w:ascii="Comic Sans MS" w:hAnsi="Comic Sans MS"/>
        </w:rPr>
        <w:t>7</w:t>
      </w:r>
      <w:r w:rsidRPr="00A54CB1">
        <w:rPr>
          <w:rFonts w:ascii="Comic Sans MS" w:hAnsi="Comic Sans MS"/>
        </w:rPr>
        <w:t xml:space="preserve"> </w:t>
      </w:r>
      <w:r>
        <w:rPr>
          <w:rFonts w:ascii="Comic Sans MS" w:hAnsi="Comic Sans MS"/>
        </w:rPr>
        <w:t xml:space="preserve">consacré à </w:t>
      </w:r>
      <w:r w:rsidRPr="00A54CB1">
        <w:rPr>
          <w:rFonts w:ascii="Comic Sans MS" w:hAnsi="Comic Sans MS"/>
        </w:rPr>
        <w:t xml:space="preserve">la </w:t>
      </w:r>
      <w:r w:rsidRPr="00B44AD6">
        <w:rPr>
          <w:rFonts w:ascii="Comic Sans MS" w:hAnsi="Comic Sans MS"/>
        </w:rPr>
        <w:t xml:space="preserve">plaine et </w:t>
      </w:r>
      <w:r>
        <w:rPr>
          <w:rFonts w:ascii="Comic Sans MS" w:hAnsi="Comic Sans MS"/>
        </w:rPr>
        <w:t>au</w:t>
      </w:r>
      <w:r w:rsidRPr="00B44AD6">
        <w:rPr>
          <w:rFonts w:ascii="Comic Sans MS" w:hAnsi="Comic Sans MS"/>
        </w:rPr>
        <w:t xml:space="preserve"> bas-plateau limoneux hennuyers</w:t>
      </w:r>
      <w:r>
        <w:rPr>
          <w:rFonts w:ascii="Comic Sans MS" w:hAnsi="Comic Sans MS"/>
        </w:rPr>
        <w:t xml:space="preserve"> a coïncidé avec </w:t>
      </w:r>
      <w:r w:rsidR="008873EF">
        <w:rPr>
          <w:rFonts w:ascii="Comic Sans MS" w:hAnsi="Comic Sans MS"/>
        </w:rPr>
        <w:t xml:space="preserve">le lancement de l’étude </w:t>
      </w:r>
      <w:r>
        <w:rPr>
          <w:rFonts w:ascii="Comic Sans MS" w:hAnsi="Comic Sans MS"/>
        </w:rPr>
        <w:t>de la Charte paysagère du Parc naturel et la détermination des entités et faciès paysagers sur le territoire de Tournai</w:t>
      </w:r>
      <w:r w:rsidR="008873EF">
        <w:rPr>
          <w:rFonts w:ascii="Comic Sans MS" w:hAnsi="Comic Sans MS"/>
        </w:rPr>
        <w:t>, non encore réalisés</w:t>
      </w:r>
      <w:r>
        <w:rPr>
          <w:rFonts w:ascii="Comic Sans MS" w:hAnsi="Comic Sans MS"/>
        </w:rPr>
        <w:t>.   Des échanges ont eu lieu entre l’équipe de chercheurs de la CPDT et l’équipe technique du Parc naturel</w:t>
      </w:r>
      <w:r w:rsidR="009F12D3">
        <w:rPr>
          <w:rFonts w:ascii="Comic Sans MS" w:hAnsi="Comic Sans MS"/>
        </w:rPr>
        <w:t xml:space="preserve">. De légères variations (délimitation et nom) existent entre les entités et faciès paysagers du PNPE par rapport aux aires paysagères CPDT. Il s’agit d’une adaptation </w:t>
      </w:r>
      <w:r w:rsidR="009F12D3" w:rsidRPr="00A54CB1">
        <w:rPr>
          <w:rFonts w:ascii="Comic Sans MS" w:hAnsi="Comic Sans MS"/>
        </w:rPr>
        <w:t xml:space="preserve">aux spécificités </w:t>
      </w:r>
      <w:r w:rsidR="009F12D3">
        <w:rPr>
          <w:rFonts w:ascii="Comic Sans MS" w:hAnsi="Comic Sans MS"/>
        </w:rPr>
        <w:t xml:space="preserve">(échelle inférieure au 1/20.000) et </w:t>
      </w:r>
      <w:r w:rsidR="00185DFF">
        <w:rPr>
          <w:rFonts w:ascii="Comic Sans MS" w:hAnsi="Comic Sans MS"/>
        </w:rPr>
        <w:t xml:space="preserve">aux </w:t>
      </w:r>
      <w:r w:rsidR="009F12D3">
        <w:rPr>
          <w:rFonts w:ascii="Comic Sans MS" w:hAnsi="Comic Sans MS"/>
        </w:rPr>
        <w:t>sensibilités locale</w:t>
      </w:r>
      <w:r w:rsidR="00185DFF">
        <w:rPr>
          <w:rFonts w:ascii="Comic Sans MS" w:hAnsi="Comic Sans MS"/>
        </w:rPr>
        <w:t>s</w:t>
      </w:r>
      <w:r w:rsidR="009F12D3">
        <w:rPr>
          <w:rFonts w:ascii="Comic Sans MS" w:hAnsi="Comic Sans MS"/>
        </w:rPr>
        <w:t xml:space="preserve">  </w:t>
      </w:r>
      <w:r w:rsidR="009F12D3" w:rsidRPr="00A54CB1">
        <w:rPr>
          <w:rFonts w:ascii="Comic Sans MS" w:hAnsi="Comic Sans MS"/>
        </w:rPr>
        <w:t xml:space="preserve">et </w:t>
      </w:r>
      <w:r w:rsidR="009F12D3">
        <w:rPr>
          <w:rFonts w:ascii="Comic Sans MS" w:hAnsi="Comic Sans MS"/>
        </w:rPr>
        <w:t xml:space="preserve">d’une mise </w:t>
      </w:r>
      <w:r w:rsidR="009F12D3" w:rsidRPr="00A54CB1">
        <w:rPr>
          <w:rFonts w:ascii="Comic Sans MS" w:hAnsi="Comic Sans MS"/>
        </w:rPr>
        <w:t>en lien avec les vocations du territoire du PNPE</w:t>
      </w:r>
      <w:r w:rsidR="0060102D">
        <w:rPr>
          <w:rFonts w:ascii="Comic Sans MS" w:hAnsi="Comic Sans MS"/>
        </w:rPr>
        <w:t>.</w:t>
      </w:r>
    </w:p>
    <w:p w14:paraId="5FF98186" w14:textId="72A8021C" w:rsidR="00704485" w:rsidRPr="00CE3AE1" w:rsidRDefault="00185DFF" w:rsidP="00895B3A">
      <w:pPr>
        <w:jc w:val="both"/>
        <w:rPr>
          <w:rFonts w:ascii="Comic Sans MS" w:hAnsi="Comic Sans MS"/>
        </w:rPr>
      </w:pPr>
      <w:r>
        <w:rPr>
          <w:rFonts w:ascii="Comic Sans MS" w:hAnsi="Comic Sans MS"/>
        </w:rPr>
        <w:t>Deux entités spécifiques au PNPE ont été créées selon une autre logique que la mé</w:t>
      </w:r>
      <w:r w:rsidR="00895B3A">
        <w:rPr>
          <w:rFonts w:ascii="Comic Sans MS" w:hAnsi="Comic Sans MS"/>
        </w:rPr>
        <w:t xml:space="preserve">thode CPDT. Elles </w:t>
      </w:r>
      <w:r>
        <w:rPr>
          <w:rFonts w:ascii="Comic Sans MS" w:hAnsi="Comic Sans MS"/>
        </w:rPr>
        <w:t xml:space="preserve">répondent à une </w:t>
      </w:r>
      <w:r w:rsidR="00895B3A">
        <w:rPr>
          <w:rFonts w:ascii="Comic Sans MS" w:hAnsi="Comic Sans MS"/>
        </w:rPr>
        <w:t>caractéristique</w:t>
      </w:r>
      <w:r>
        <w:rPr>
          <w:rFonts w:ascii="Comic Sans MS" w:hAnsi="Comic Sans MS"/>
        </w:rPr>
        <w:t xml:space="preserve"> paysagè</w:t>
      </w:r>
      <w:r w:rsidR="00895B3A">
        <w:rPr>
          <w:rFonts w:ascii="Comic Sans MS" w:hAnsi="Comic Sans MS"/>
        </w:rPr>
        <w:t>re propre au territoire du PNPE : l</w:t>
      </w:r>
      <w:r w:rsidRPr="00CE3AE1">
        <w:rPr>
          <w:rFonts w:ascii="Comic Sans MS" w:hAnsi="Comic Sans MS"/>
        </w:rPr>
        <w:t>a richesse du territoire en voies d’ea</w:t>
      </w:r>
      <w:r w:rsidR="00895B3A">
        <w:rPr>
          <w:rFonts w:ascii="Comic Sans MS" w:hAnsi="Comic Sans MS"/>
        </w:rPr>
        <w:t>u de tailles diverses. Cette typologie paysagère particulière</w:t>
      </w:r>
      <w:r w:rsidRPr="00CE3AE1">
        <w:rPr>
          <w:rFonts w:ascii="Comic Sans MS" w:hAnsi="Comic Sans MS"/>
        </w:rPr>
        <w:t xml:space="preserve"> s’apprécie selon l’axe du cours d’eau artificiel ou canalisé. Témoins de l’activité industrielle présente et passée, ces voies d’eau constituent un fil conducteur entre différents sites du Parc naturel. La  perception des vues est essentiellement linéaire : bande étroite composée principalement du canal, du ou des chemins de halage et de la végétation qui borde ceux-ci. Il y a peu de vues transversales franches (vers l’extérieur de l’entité ou d’une autre entité vers celle-ci). </w:t>
      </w:r>
      <w:r w:rsidR="00895B3A" w:rsidRPr="00CE3AE1">
        <w:rPr>
          <w:rFonts w:ascii="Comic Sans MS" w:hAnsi="Comic Sans MS"/>
        </w:rPr>
        <w:t xml:space="preserve">L’Escaut formant la colonne vertébrale nord-ouest/sud-est du Parc naturel </w:t>
      </w:r>
      <w:r w:rsidR="00895B3A">
        <w:rPr>
          <w:rFonts w:ascii="Comic Sans MS" w:hAnsi="Comic Sans MS"/>
        </w:rPr>
        <w:t xml:space="preserve">et </w:t>
      </w:r>
      <w:r w:rsidR="00072355">
        <w:rPr>
          <w:rFonts w:ascii="Comic Sans MS" w:hAnsi="Comic Sans MS"/>
        </w:rPr>
        <w:t xml:space="preserve">donnant </w:t>
      </w:r>
      <w:r w:rsidR="00895B3A">
        <w:rPr>
          <w:rFonts w:ascii="Comic Sans MS" w:hAnsi="Comic Sans MS"/>
        </w:rPr>
        <w:t xml:space="preserve">son identité </w:t>
      </w:r>
      <w:r w:rsidR="00072355">
        <w:rPr>
          <w:rFonts w:ascii="Comic Sans MS" w:hAnsi="Comic Sans MS"/>
        </w:rPr>
        <w:t xml:space="preserve">au Parc </w:t>
      </w:r>
      <w:r w:rsidR="00895B3A" w:rsidRPr="00CE3AE1">
        <w:rPr>
          <w:rFonts w:ascii="Comic Sans MS" w:hAnsi="Comic Sans MS"/>
        </w:rPr>
        <w:t>a été</w:t>
      </w:r>
      <w:r w:rsidR="00895B3A">
        <w:rPr>
          <w:rFonts w:ascii="Comic Sans MS" w:hAnsi="Comic Sans MS"/>
        </w:rPr>
        <w:t xml:space="preserve"> </w:t>
      </w:r>
      <w:r w:rsidR="00860204">
        <w:rPr>
          <w:rFonts w:ascii="Comic Sans MS" w:hAnsi="Comic Sans MS"/>
        </w:rPr>
        <w:t>intégré</w:t>
      </w:r>
      <w:r w:rsidR="00895B3A" w:rsidRPr="00CE3AE1">
        <w:rPr>
          <w:rFonts w:ascii="Comic Sans MS" w:hAnsi="Comic Sans MS"/>
        </w:rPr>
        <w:t xml:space="preserve"> à une entité paysagère spécifique : la Vallée de l’Escaut. </w:t>
      </w:r>
      <w:r w:rsidR="00895B3A">
        <w:rPr>
          <w:rFonts w:ascii="Comic Sans MS" w:hAnsi="Comic Sans MS"/>
        </w:rPr>
        <w:t xml:space="preserve">Les autres voies d’eau importantes sont </w:t>
      </w:r>
      <w:r w:rsidR="00A71232">
        <w:rPr>
          <w:rFonts w:ascii="Comic Sans MS" w:hAnsi="Comic Sans MS"/>
        </w:rPr>
        <w:t>incorporées</w:t>
      </w:r>
      <w:r w:rsidR="00895B3A">
        <w:rPr>
          <w:rFonts w:ascii="Comic Sans MS" w:hAnsi="Comic Sans MS"/>
        </w:rPr>
        <w:t xml:space="preserve"> à l’entité paysagère des Paysages intérieurs des canaux. Cette entité et ses faciès se superposent aux autres entités paysagères. Il s’agit d’une autre façon de percevoir les paysages.</w:t>
      </w:r>
    </w:p>
    <w:p w14:paraId="2D7D7B81" w14:textId="51F77FE4" w:rsidR="00A71232" w:rsidRPr="00340EA6" w:rsidRDefault="0060102D" w:rsidP="00A71232">
      <w:pPr>
        <w:jc w:val="both"/>
        <w:rPr>
          <w:rFonts w:ascii="Comic Sans MS" w:hAnsi="Comic Sans MS"/>
          <w:u w:val="single"/>
        </w:rPr>
      </w:pPr>
      <w:r>
        <w:rPr>
          <w:rFonts w:ascii="Comic Sans MS" w:hAnsi="Comic Sans MS"/>
          <w:u w:val="single"/>
        </w:rPr>
        <w:t>1</w:t>
      </w:r>
      <w:r w:rsidR="00A71232">
        <w:rPr>
          <w:rFonts w:ascii="Comic Sans MS" w:hAnsi="Comic Sans MS"/>
          <w:u w:val="single"/>
        </w:rPr>
        <w:t>.2</w:t>
      </w:r>
      <w:r>
        <w:rPr>
          <w:rFonts w:ascii="Comic Sans MS" w:hAnsi="Comic Sans MS"/>
          <w:u w:val="single"/>
        </w:rPr>
        <w:t>.</w:t>
      </w:r>
      <w:bookmarkStart w:id="0" w:name="_GoBack"/>
      <w:bookmarkEnd w:id="0"/>
      <w:r w:rsidR="00A71232">
        <w:rPr>
          <w:rFonts w:ascii="Comic Sans MS" w:hAnsi="Comic Sans MS"/>
          <w:u w:val="single"/>
        </w:rPr>
        <w:t xml:space="preserve">  Les liens avec le </w:t>
      </w:r>
      <w:r w:rsidR="008E4AA8">
        <w:rPr>
          <w:rFonts w:ascii="Comic Sans MS" w:hAnsi="Comic Sans MS"/>
          <w:u w:val="single"/>
        </w:rPr>
        <w:t>transfrontalier</w:t>
      </w:r>
    </w:p>
    <w:p w14:paraId="27395D75" w14:textId="2C40D501" w:rsidR="003C5A47" w:rsidRDefault="003C5A47" w:rsidP="001F32FF">
      <w:pPr>
        <w:jc w:val="both"/>
        <w:rPr>
          <w:rFonts w:ascii="Comic Sans MS" w:hAnsi="Comic Sans MS"/>
        </w:rPr>
      </w:pPr>
      <w:r w:rsidRPr="003C5A47">
        <w:rPr>
          <w:rFonts w:ascii="Comic Sans MS" w:hAnsi="Comic Sans MS"/>
        </w:rPr>
        <w:t>L</w:t>
      </w:r>
      <w:r>
        <w:rPr>
          <w:rFonts w:ascii="Comic Sans MS" w:hAnsi="Comic Sans MS"/>
        </w:rPr>
        <w:t>es paysages ne s’arrêtent pas au niveau des frontières. Les liens avec le versant français de la plaine de l’Escaut sont anciens</w:t>
      </w:r>
      <w:r>
        <w:rPr>
          <w:rStyle w:val="Appelnotedebasdep"/>
          <w:rFonts w:ascii="Comic Sans MS" w:hAnsi="Comic Sans MS"/>
        </w:rPr>
        <w:footnoteReference w:id="2"/>
      </w:r>
      <w:r w:rsidR="00820F53">
        <w:rPr>
          <w:rFonts w:ascii="Comic Sans MS" w:hAnsi="Comic Sans MS"/>
        </w:rPr>
        <w:t xml:space="preserve">. Le Parc naturel Transfrontalier du Hainaut, </w:t>
      </w:r>
      <w:r w:rsidR="00820F53" w:rsidRPr="003C5A47">
        <w:rPr>
          <w:rFonts w:ascii="Comic Sans MS" w:hAnsi="Comic Sans MS"/>
        </w:rPr>
        <w:t>espace de coopération transfrontalière entre le Parc naturel des Plaines de l’Escaut et le Parc naturel régional Scarpe-Escaut</w:t>
      </w:r>
      <w:r w:rsidR="00820F53">
        <w:rPr>
          <w:rFonts w:ascii="Comic Sans MS" w:hAnsi="Comic Sans MS"/>
        </w:rPr>
        <w:t xml:space="preserve">, déploie </w:t>
      </w:r>
      <w:r w:rsidR="00820F53" w:rsidRPr="00820F53">
        <w:rPr>
          <w:rFonts w:ascii="Comic Sans MS" w:hAnsi="Comic Sans MS"/>
        </w:rPr>
        <w:t xml:space="preserve">de nombreuses actions </w:t>
      </w:r>
      <w:r w:rsidR="00820F53">
        <w:rPr>
          <w:rFonts w:ascii="Comic Sans MS" w:hAnsi="Comic Sans MS"/>
        </w:rPr>
        <w:t xml:space="preserve">- </w:t>
      </w:r>
      <w:r w:rsidR="00820F53" w:rsidRPr="00820F53">
        <w:rPr>
          <w:rFonts w:ascii="Comic Sans MS" w:hAnsi="Comic Sans MS"/>
        </w:rPr>
        <w:t>notamment grâce aux projets issus des programmes INTERREG de coopération transfrontalière cofinancés par l’Union Européenne</w:t>
      </w:r>
      <w:r w:rsidR="00820F53">
        <w:rPr>
          <w:rFonts w:ascii="Comic Sans MS" w:hAnsi="Comic Sans MS"/>
        </w:rPr>
        <w:t xml:space="preserve"> - </w:t>
      </w:r>
      <w:r w:rsidRPr="003C5A47">
        <w:rPr>
          <w:rFonts w:ascii="Comic Sans MS" w:hAnsi="Comic Sans MS"/>
        </w:rPr>
        <w:t xml:space="preserve">pour préserver ensemble le patrimoine </w:t>
      </w:r>
      <w:r w:rsidR="00820F53">
        <w:rPr>
          <w:rFonts w:ascii="Comic Sans MS" w:hAnsi="Comic Sans MS"/>
        </w:rPr>
        <w:t xml:space="preserve">paysager, </w:t>
      </w:r>
      <w:r w:rsidRPr="003C5A47">
        <w:rPr>
          <w:rFonts w:ascii="Comic Sans MS" w:hAnsi="Comic Sans MS"/>
        </w:rPr>
        <w:t xml:space="preserve">naturel et culturel de ce territoire </w:t>
      </w:r>
      <w:r w:rsidR="00820F53">
        <w:rPr>
          <w:rFonts w:ascii="Comic Sans MS" w:hAnsi="Comic Sans MS"/>
        </w:rPr>
        <w:t>commun</w:t>
      </w:r>
      <w:r w:rsidRPr="003C5A47">
        <w:rPr>
          <w:rFonts w:ascii="Comic Sans MS" w:hAnsi="Comic Sans MS"/>
        </w:rPr>
        <w:t>.</w:t>
      </w:r>
      <w:r w:rsidR="00820F53">
        <w:rPr>
          <w:rFonts w:ascii="Comic Sans MS" w:hAnsi="Comic Sans MS"/>
        </w:rPr>
        <w:t xml:space="preserve"> </w:t>
      </w:r>
      <w:r w:rsidRPr="003C5A47">
        <w:rPr>
          <w:rFonts w:ascii="Comic Sans MS" w:hAnsi="Comic Sans MS"/>
        </w:rPr>
        <w:t>A l’occasion du renouvellement de la Charte du Parc français</w:t>
      </w:r>
      <w:r w:rsidR="00820F53">
        <w:rPr>
          <w:rFonts w:ascii="Comic Sans MS" w:hAnsi="Comic Sans MS"/>
        </w:rPr>
        <w:t xml:space="preserve"> en 2010</w:t>
      </w:r>
      <w:r w:rsidRPr="003C5A47">
        <w:rPr>
          <w:rFonts w:ascii="Comic Sans MS" w:hAnsi="Comic Sans MS"/>
        </w:rPr>
        <w:t>, les deux partenaires ont décidé de doter cette Charte d’une dimension transfrontalière, en y associant le Parc naturel des Plaines de l’Escaut. De leur côté, les orientations du Plan de gestion du Parc naturel wallon se trouvent convergentes avec celles de la Charte</w:t>
      </w:r>
      <w:r w:rsidR="00820F53">
        <w:rPr>
          <w:rFonts w:ascii="Comic Sans MS" w:hAnsi="Comic Sans MS"/>
        </w:rPr>
        <w:t xml:space="preserve"> française</w:t>
      </w:r>
      <w:r w:rsidRPr="003C5A47">
        <w:rPr>
          <w:rFonts w:ascii="Comic Sans MS" w:hAnsi="Comic Sans MS"/>
        </w:rPr>
        <w:t>.</w:t>
      </w:r>
      <w:r w:rsidR="001F32FF">
        <w:rPr>
          <w:rFonts w:ascii="Comic Sans MS" w:hAnsi="Comic Sans MS"/>
        </w:rPr>
        <w:t xml:space="preserve"> En 2007, en prélude à l’élaboration de la </w:t>
      </w:r>
      <w:r w:rsidR="001F32FF" w:rsidRPr="003C5A47">
        <w:rPr>
          <w:rFonts w:ascii="Comic Sans MS" w:hAnsi="Comic Sans MS"/>
        </w:rPr>
        <w:t>Charte du Parc français</w:t>
      </w:r>
      <w:r w:rsidR="001F32FF">
        <w:rPr>
          <w:rFonts w:ascii="Comic Sans MS" w:hAnsi="Comic Sans MS"/>
        </w:rPr>
        <w:t xml:space="preserve">, un </w:t>
      </w:r>
      <w:r w:rsidR="001F32FF" w:rsidRPr="001F32FF">
        <w:rPr>
          <w:rFonts w:ascii="Comic Sans MS" w:hAnsi="Comic Sans MS"/>
        </w:rPr>
        <w:t>diag</w:t>
      </w:r>
      <w:r w:rsidR="001F32FF">
        <w:rPr>
          <w:rFonts w:ascii="Comic Sans MS" w:hAnsi="Comic Sans MS"/>
        </w:rPr>
        <w:t>nostic d</w:t>
      </w:r>
      <w:r w:rsidR="001F32FF" w:rsidRPr="001F32FF">
        <w:rPr>
          <w:rFonts w:ascii="Comic Sans MS" w:hAnsi="Comic Sans MS"/>
        </w:rPr>
        <w:t>es paysages sur l’ensemble du Parc naturel transfrontalier du Hainaut</w:t>
      </w:r>
      <w:r w:rsidR="004C4972">
        <w:rPr>
          <w:rFonts w:ascii="Comic Sans MS" w:hAnsi="Comic Sans MS"/>
        </w:rPr>
        <w:t>,</w:t>
      </w:r>
      <w:r w:rsidR="001F32FF" w:rsidRPr="001F32FF">
        <w:rPr>
          <w:rFonts w:ascii="Comic Sans MS" w:hAnsi="Comic Sans MS"/>
        </w:rPr>
        <w:t xml:space="preserve"> </w:t>
      </w:r>
      <w:r w:rsidR="001F32FF" w:rsidRPr="001F32FF">
        <w:rPr>
          <w:rFonts w:ascii="Comic Sans MS" w:hAnsi="Comic Sans MS"/>
        </w:rPr>
        <w:lastRenderedPageBreak/>
        <w:t>devant permettre de nourrir les travaux d’élaboration de la future Charte du parc</w:t>
      </w:r>
      <w:r w:rsidR="004C4972">
        <w:rPr>
          <w:rFonts w:ascii="Comic Sans MS" w:hAnsi="Comic Sans MS"/>
        </w:rPr>
        <w:t>,</w:t>
      </w:r>
      <w:r w:rsidR="001F32FF">
        <w:rPr>
          <w:rFonts w:ascii="Comic Sans MS" w:hAnsi="Comic Sans MS"/>
        </w:rPr>
        <w:t xml:space="preserve"> a été réalisé</w:t>
      </w:r>
      <w:r w:rsidR="001F32FF" w:rsidRPr="001F32FF">
        <w:rPr>
          <w:rFonts w:ascii="Comic Sans MS" w:hAnsi="Comic Sans MS"/>
        </w:rPr>
        <w:t>.</w:t>
      </w:r>
      <w:r w:rsidR="001F32FF">
        <w:rPr>
          <w:rFonts w:ascii="Comic Sans MS" w:hAnsi="Comic Sans MS"/>
        </w:rPr>
        <w:t xml:space="preserve"> Cette étude a notamment </w:t>
      </w:r>
      <w:r w:rsidR="001F32FF" w:rsidRPr="001F32FF">
        <w:rPr>
          <w:rFonts w:ascii="Comic Sans MS" w:hAnsi="Comic Sans MS"/>
        </w:rPr>
        <w:t>caractéris</w:t>
      </w:r>
      <w:r w:rsidR="001F32FF">
        <w:rPr>
          <w:rFonts w:ascii="Comic Sans MS" w:hAnsi="Comic Sans MS"/>
        </w:rPr>
        <w:t>é</w:t>
      </w:r>
      <w:r w:rsidR="001F32FF" w:rsidRPr="001F32FF">
        <w:rPr>
          <w:rFonts w:ascii="Comic Sans MS" w:hAnsi="Comic Sans MS"/>
        </w:rPr>
        <w:t xml:space="preserve"> les différentes entités de paysages du Parc nat</w:t>
      </w:r>
      <w:r w:rsidR="001F32FF">
        <w:rPr>
          <w:rFonts w:ascii="Comic Sans MS" w:hAnsi="Comic Sans MS"/>
        </w:rPr>
        <w:t>urel transfrontalier du Hainaut.</w:t>
      </w:r>
    </w:p>
    <w:tbl>
      <w:tblPr>
        <w:tblStyle w:val="Grilledutableau"/>
        <w:tblpPr w:leftFromText="141" w:rightFromText="141" w:vertAnchor="text" w:tblpXSpec="center" w:tblpY="1"/>
        <w:tblOverlap w:val="never"/>
        <w:tblW w:w="0" w:type="auto"/>
        <w:tblLook w:val="04A0" w:firstRow="1" w:lastRow="0" w:firstColumn="1" w:lastColumn="0" w:noHBand="0" w:noVBand="1"/>
      </w:tblPr>
      <w:tblGrid>
        <w:gridCol w:w="9062"/>
      </w:tblGrid>
      <w:tr w:rsidR="001F32FF" w14:paraId="5DB21C95" w14:textId="77777777" w:rsidTr="0081315A">
        <w:tc>
          <w:tcPr>
            <w:tcW w:w="9062" w:type="dxa"/>
            <w:vAlign w:val="center"/>
          </w:tcPr>
          <w:p w14:paraId="0B5F2F9C" w14:textId="76B19F44" w:rsidR="001F32FF" w:rsidRDefault="001F32FF" w:rsidP="0081315A">
            <w:pPr>
              <w:jc w:val="center"/>
              <w:rPr>
                <w:rFonts w:ascii="Comic Sans MS" w:hAnsi="Comic Sans MS"/>
              </w:rPr>
            </w:pPr>
            <w:r>
              <w:rPr>
                <w:noProof/>
                <w:lang w:eastAsia="fr-BE"/>
              </w:rPr>
              <w:drawing>
                <wp:anchor distT="0" distB="0" distL="114300" distR="114300" simplePos="0" relativeHeight="251658240" behindDoc="0" locked="0" layoutInCell="1" allowOverlap="0" wp14:anchorId="1737F1E3" wp14:editId="7E636334">
                  <wp:simplePos x="0" y="0"/>
                  <wp:positionH relativeFrom="column">
                    <wp:align>center</wp:align>
                  </wp:positionH>
                  <wp:positionV relativeFrom="page">
                    <wp:align>center</wp:align>
                  </wp:positionV>
                  <wp:extent cx="4788000" cy="3103200"/>
                  <wp:effectExtent l="0" t="0" r="0" b="2540"/>
                  <wp:wrapSquare wrapText="bothSides"/>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692"/>
                          <pic:cNvPicPr/>
                        </pic:nvPicPr>
                        <pic:blipFill>
                          <a:blip r:embed="rId12"/>
                          <a:stretch>
                            <a:fillRect/>
                          </a:stretch>
                        </pic:blipFill>
                        <pic:spPr>
                          <a:xfrm>
                            <a:off x="0" y="0"/>
                            <a:ext cx="4788000" cy="3103200"/>
                          </a:xfrm>
                          <a:prstGeom prst="rect">
                            <a:avLst/>
                          </a:prstGeom>
                        </pic:spPr>
                      </pic:pic>
                    </a:graphicData>
                  </a:graphic>
                  <wp14:sizeRelH relativeFrom="margin">
                    <wp14:pctWidth>0</wp14:pctWidth>
                  </wp14:sizeRelH>
                  <wp14:sizeRelV relativeFrom="margin">
                    <wp14:pctHeight>0</wp14:pctHeight>
                  </wp14:sizeRelV>
                </wp:anchor>
              </w:drawing>
            </w:r>
          </w:p>
        </w:tc>
      </w:tr>
    </w:tbl>
    <w:p w14:paraId="4F18D6BF" w14:textId="7AE6537A" w:rsidR="003B2004" w:rsidRDefault="008E4AA8" w:rsidP="008E4AA8">
      <w:pPr>
        <w:pStyle w:val="Lgende"/>
        <w:jc w:val="center"/>
        <w:rPr>
          <w:rFonts w:ascii="Comic Sans MS" w:hAnsi="Comic Sans MS"/>
        </w:rPr>
        <w:sectPr w:rsidR="003B2004">
          <w:pgSz w:w="11906" w:h="16838"/>
          <w:pgMar w:top="1417" w:right="1417" w:bottom="1417" w:left="1417" w:header="708" w:footer="708" w:gutter="0"/>
          <w:cols w:space="708"/>
          <w:docGrid w:linePitch="360"/>
        </w:sectPr>
      </w:pPr>
      <w:r>
        <w:t xml:space="preserve">Figure </w:t>
      </w:r>
      <w:r w:rsidR="00A97182">
        <w:rPr>
          <w:noProof/>
        </w:rPr>
        <w:fldChar w:fldCharType="begin"/>
      </w:r>
      <w:r w:rsidR="00A97182">
        <w:rPr>
          <w:noProof/>
        </w:rPr>
        <w:instrText xml:space="preserve"> SEQ Figure \* ARABIC </w:instrText>
      </w:r>
      <w:r w:rsidR="00A97182">
        <w:rPr>
          <w:noProof/>
        </w:rPr>
        <w:fldChar w:fldCharType="separate"/>
      </w:r>
      <w:r>
        <w:rPr>
          <w:noProof/>
        </w:rPr>
        <w:t>2</w:t>
      </w:r>
      <w:r w:rsidR="00A97182">
        <w:rPr>
          <w:noProof/>
        </w:rPr>
        <w:fldChar w:fldCharType="end"/>
      </w:r>
      <w:r>
        <w:t xml:space="preserve"> </w:t>
      </w:r>
      <w:r w:rsidR="00A84EC7">
        <w:t>–</w:t>
      </w:r>
      <w:r>
        <w:t xml:space="preserve"> </w:t>
      </w:r>
      <w:r w:rsidR="00A84EC7">
        <w:t xml:space="preserve">Les entités paysagères transfrontalières </w:t>
      </w:r>
      <w:r w:rsidR="004C4972">
        <w:t>(PNTH</w:t>
      </w:r>
      <w:r w:rsidR="00A84EC7" w:rsidRPr="004C4972">
        <w:t xml:space="preserve"> – </w:t>
      </w:r>
      <w:r w:rsidR="004C4972">
        <w:t>2010</w:t>
      </w:r>
      <w:r w:rsidR="00A84EC7" w:rsidRPr="004C4972">
        <w:t>)</w:t>
      </w:r>
    </w:p>
    <w:p w14:paraId="0A578C5F" w14:textId="4047429E" w:rsidR="00A84EC7" w:rsidRPr="00A84EC7" w:rsidRDefault="00A84EC7" w:rsidP="00A84EC7">
      <w:pPr>
        <w:pStyle w:val="Lgende"/>
        <w:jc w:val="center"/>
      </w:pPr>
      <w:r>
        <w:t xml:space="preserve">Tableau </w:t>
      </w:r>
      <w:r w:rsidR="00A97182">
        <w:rPr>
          <w:noProof/>
        </w:rPr>
        <w:fldChar w:fldCharType="begin"/>
      </w:r>
      <w:r w:rsidR="00A97182">
        <w:rPr>
          <w:noProof/>
        </w:rPr>
        <w:instrText xml:space="preserve"> SEQ Tableau \* ARABIC </w:instrText>
      </w:r>
      <w:r w:rsidR="00A97182">
        <w:rPr>
          <w:noProof/>
        </w:rPr>
        <w:fldChar w:fldCharType="separate"/>
      </w:r>
      <w:r>
        <w:rPr>
          <w:noProof/>
        </w:rPr>
        <w:t>1</w:t>
      </w:r>
      <w:r w:rsidR="00A97182">
        <w:rPr>
          <w:noProof/>
        </w:rPr>
        <w:fldChar w:fldCharType="end"/>
      </w:r>
      <w:r>
        <w:t xml:space="preserve"> - </w:t>
      </w:r>
      <w:r w:rsidRPr="00A84EC7">
        <w:t>Méthodologie du découpage, justification de l’échelle de travail et correspondance entre aires et entités paysagères (CPDT/PNTH/PNPE)</w:t>
      </w:r>
    </w:p>
    <w:tbl>
      <w:tblPr>
        <w:tblStyle w:val="Grilledutableau"/>
        <w:tblW w:w="0" w:type="auto"/>
        <w:tblLook w:val="04A0" w:firstRow="1" w:lastRow="0" w:firstColumn="1" w:lastColumn="0" w:noHBand="0" w:noVBand="1"/>
      </w:tblPr>
      <w:tblGrid>
        <w:gridCol w:w="1255"/>
        <w:gridCol w:w="1771"/>
        <w:gridCol w:w="1562"/>
        <w:gridCol w:w="1627"/>
        <w:gridCol w:w="1560"/>
        <w:gridCol w:w="1675"/>
        <w:gridCol w:w="4544"/>
      </w:tblGrid>
      <w:tr w:rsidR="00860204" w:rsidRPr="00BA5EB0" w14:paraId="521CB1F8" w14:textId="77777777" w:rsidTr="004C4972">
        <w:trPr>
          <w:trHeight w:val="557"/>
          <w:tblHeader/>
        </w:trPr>
        <w:tc>
          <w:tcPr>
            <w:tcW w:w="4588" w:type="dxa"/>
            <w:gridSpan w:val="3"/>
            <w:vAlign w:val="center"/>
            <w:hideMark/>
          </w:tcPr>
          <w:p w14:paraId="62EE235E" w14:textId="77777777" w:rsidR="00860204" w:rsidRPr="00BA5EB0" w:rsidRDefault="00860204" w:rsidP="005B6BDB">
            <w:pPr>
              <w:jc w:val="center"/>
              <w:rPr>
                <w:rFonts w:ascii="Comic Sans MS" w:hAnsi="Comic Sans MS"/>
                <w:b/>
                <w:bCs/>
                <w:sz w:val="20"/>
                <w:szCs w:val="20"/>
              </w:rPr>
            </w:pPr>
            <w:r w:rsidRPr="00BA5EB0">
              <w:rPr>
                <w:rFonts w:ascii="Comic Sans MS" w:hAnsi="Comic Sans MS"/>
                <w:b/>
                <w:bCs/>
                <w:sz w:val="20"/>
                <w:szCs w:val="20"/>
              </w:rPr>
              <w:t>CPDT</w:t>
            </w:r>
          </w:p>
        </w:tc>
        <w:tc>
          <w:tcPr>
            <w:tcW w:w="1627" w:type="dxa"/>
            <w:vAlign w:val="center"/>
            <w:hideMark/>
          </w:tcPr>
          <w:p w14:paraId="64CFC2DC" w14:textId="7406FB9E" w:rsidR="00860204" w:rsidRPr="00BA5EB0" w:rsidRDefault="00860204" w:rsidP="005B6BDB">
            <w:pPr>
              <w:jc w:val="center"/>
              <w:rPr>
                <w:rFonts w:ascii="Comic Sans MS" w:hAnsi="Comic Sans MS"/>
                <w:b/>
                <w:bCs/>
                <w:sz w:val="20"/>
                <w:szCs w:val="20"/>
              </w:rPr>
            </w:pPr>
            <w:r w:rsidRPr="00BA5EB0">
              <w:rPr>
                <w:rFonts w:ascii="Comic Sans MS" w:hAnsi="Comic Sans MS"/>
                <w:b/>
                <w:bCs/>
                <w:sz w:val="20"/>
                <w:szCs w:val="20"/>
              </w:rPr>
              <w:t>PNTH</w:t>
            </w:r>
            <w:r w:rsidRPr="00BA5EB0">
              <w:rPr>
                <w:rFonts w:ascii="Comic Sans MS" w:hAnsi="Comic Sans MS"/>
                <w:b/>
                <w:bCs/>
                <w:sz w:val="20"/>
                <w:szCs w:val="20"/>
              </w:rPr>
              <w:br/>
              <w:t>(</w:t>
            </w:r>
            <w:r w:rsidR="004C4972">
              <w:rPr>
                <w:rFonts w:ascii="Comic Sans MS" w:hAnsi="Comic Sans MS"/>
                <w:b/>
                <w:bCs/>
                <w:sz w:val="20"/>
                <w:szCs w:val="20"/>
              </w:rPr>
              <w:t>PNPE/</w:t>
            </w:r>
            <w:r w:rsidRPr="00BA5EB0">
              <w:rPr>
                <w:rFonts w:ascii="Comic Sans MS" w:hAnsi="Comic Sans MS"/>
                <w:b/>
                <w:bCs/>
                <w:sz w:val="20"/>
                <w:szCs w:val="20"/>
              </w:rPr>
              <w:t>PNRSE)</w:t>
            </w:r>
          </w:p>
        </w:tc>
        <w:tc>
          <w:tcPr>
            <w:tcW w:w="3235" w:type="dxa"/>
            <w:gridSpan w:val="2"/>
            <w:vAlign w:val="center"/>
            <w:hideMark/>
          </w:tcPr>
          <w:p w14:paraId="1173597A" w14:textId="77777777" w:rsidR="00860204" w:rsidRPr="00BA5EB0" w:rsidRDefault="00860204" w:rsidP="005B6BDB">
            <w:pPr>
              <w:jc w:val="center"/>
              <w:rPr>
                <w:rFonts w:ascii="Comic Sans MS" w:hAnsi="Comic Sans MS"/>
                <w:b/>
                <w:bCs/>
                <w:sz w:val="20"/>
                <w:szCs w:val="20"/>
              </w:rPr>
            </w:pPr>
            <w:r w:rsidRPr="00BA5EB0">
              <w:rPr>
                <w:rFonts w:ascii="Comic Sans MS" w:hAnsi="Comic Sans MS"/>
                <w:b/>
                <w:bCs/>
                <w:sz w:val="20"/>
                <w:szCs w:val="20"/>
              </w:rPr>
              <w:t>PNPE</w:t>
            </w:r>
          </w:p>
        </w:tc>
        <w:tc>
          <w:tcPr>
            <w:tcW w:w="4544" w:type="dxa"/>
            <w:vMerge w:val="restart"/>
            <w:vAlign w:val="center"/>
            <w:hideMark/>
          </w:tcPr>
          <w:p w14:paraId="113C51D9" w14:textId="7DC963D2" w:rsidR="00860204" w:rsidRPr="00BA5EB0" w:rsidRDefault="00860204" w:rsidP="005B6BDB">
            <w:pPr>
              <w:jc w:val="center"/>
              <w:rPr>
                <w:rFonts w:ascii="Comic Sans MS" w:hAnsi="Comic Sans MS"/>
                <w:b/>
                <w:bCs/>
                <w:sz w:val="20"/>
                <w:szCs w:val="20"/>
              </w:rPr>
            </w:pPr>
            <w:r w:rsidRPr="00BA5EB0">
              <w:rPr>
                <w:rFonts w:ascii="Comic Sans MS" w:hAnsi="Comic Sans MS"/>
                <w:b/>
                <w:bCs/>
                <w:sz w:val="20"/>
                <w:szCs w:val="20"/>
              </w:rPr>
              <w:t xml:space="preserve">Justification de l'échelle de travail et méthodologie du découpage </w:t>
            </w:r>
            <w:r w:rsidRPr="00BA5EB0">
              <w:rPr>
                <w:rFonts w:ascii="Comic Sans MS" w:hAnsi="Comic Sans MS"/>
                <w:b/>
                <w:bCs/>
                <w:sz w:val="20"/>
                <w:szCs w:val="20"/>
              </w:rPr>
              <w:br/>
            </w:r>
            <w:r w:rsidRPr="00BA5EB0">
              <w:rPr>
                <w:rFonts w:ascii="Comic Sans MS" w:hAnsi="Comic Sans MS"/>
                <w:sz w:val="20"/>
                <w:szCs w:val="20"/>
              </w:rPr>
              <w:t>(V</w:t>
            </w:r>
            <w:r w:rsidR="004C4972">
              <w:rPr>
                <w:rFonts w:ascii="Comic Sans MS" w:hAnsi="Comic Sans MS"/>
                <w:sz w:val="20"/>
                <w:szCs w:val="20"/>
              </w:rPr>
              <w:t xml:space="preserve">ade </w:t>
            </w:r>
            <w:r w:rsidRPr="00BA5EB0">
              <w:rPr>
                <w:rFonts w:ascii="Comic Sans MS" w:hAnsi="Comic Sans MS"/>
                <w:sz w:val="20"/>
                <w:szCs w:val="20"/>
              </w:rPr>
              <w:t>M</w:t>
            </w:r>
            <w:r w:rsidR="004C4972">
              <w:rPr>
                <w:rFonts w:ascii="Comic Sans MS" w:hAnsi="Comic Sans MS"/>
                <w:sz w:val="20"/>
                <w:szCs w:val="20"/>
              </w:rPr>
              <w:t>ecum</w:t>
            </w:r>
            <w:r w:rsidRPr="00BA5EB0">
              <w:rPr>
                <w:rFonts w:ascii="Comic Sans MS" w:hAnsi="Comic Sans MS"/>
                <w:sz w:val="20"/>
                <w:szCs w:val="20"/>
              </w:rPr>
              <w:t xml:space="preserve"> Charte paysagère p14 et p18)</w:t>
            </w:r>
          </w:p>
        </w:tc>
      </w:tr>
      <w:tr w:rsidR="00860204" w:rsidRPr="00BA5EB0" w14:paraId="5C5416F1" w14:textId="77777777" w:rsidTr="004C4972">
        <w:trPr>
          <w:trHeight w:val="672"/>
          <w:tblHeader/>
        </w:trPr>
        <w:tc>
          <w:tcPr>
            <w:tcW w:w="1255" w:type="dxa"/>
            <w:vAlign w:val="center"/>
            <w:hideMark/>
          </w:tcPr>
          <w:p w14:paraId="31E46384" w14:textId="77777777" w:rsidR="00860204" w:rsidRPr="00BA5EB0" w:rsidRDefault="00860204" w:rsidP="005B6BDB">
            <w:pPr>
              <w:jc w:val="center"/>
              <w:rPr>
                <w:rFonts w:ascii="Comic Sans MS" w:hAnsi="Comic Sans MS"/>
                <w:b/>
                <w:bCs/>
                <w:sz w:val="20"/>
                <w:szCs w:val="20"/>
              </w:rPr>
            </w:pPr>
            <w:r w:rsidRPr="00BA5EB0">
              <w:rPr>
                <w:rFonts w:ascii="Comic Sans MS" w:hAnsi="Comic Sans MS"/>
                <w:b/>
                <w:bCs/>
                <w:sz w:val="20"/>
                <w:szCs w:val="20"/>
              </w:rPr>
              <w:t>Ensemble paysager</w:t>
            </w:r>
          </w:p>
        </w:tc>
        <w:tc>
          <w:tcPr>
            <w:tcW w:w="1771" w:type="dxa"/>
            <w:vAlign w:val="center"/>
            <w:hideMark/>
          </w:tcPr>
          <w:p w14:paraId="21CA926D" w14:textId="77777777" w:rsidR="00860204" w:rsidRPr="00BA5EB0" w:rsidRDefault="00860204" w:rsidP="005B6BDB">
            <w:pPr>
              <w:jc w:val="center"/>
              <w:rPr>
                <w:rFonts w:ascii="Comic Sans MS" w:hAnsi="Comic Sans MS"/>
                <w:b/>
                <w:bCs/>
                <w:sz w:val="20"/>
                <w:szCs w:val="20"/>
              </w:rPr>
            </w:pPr>
            <w:r w:rsidRPr="00BA5EB0">
              <w:rPr>
                <w:rFonts w:ascii="Comic Sans MS" w:hAnsi="Comic Sans MS"/>
                <w:b/>
                <w:bCs/>
                <w:sz w:val="20"/>
                <w:szCs w:val="20"/>
              </w:rPr>
              <w:t>Territoire paysager/Faciès</w:t>
            </w:r>
          </w:p>
        </w:tc>
        <w:tc>
          <w:tcPr>
            <w:tcW w:w="1562" w:type="dxa"/>
            <w:vAlign w:val="center"/>
            <w:hideMark/>
          </w:tcPr>
          <w:p w14:paraId="73602068" w14:textId="77777777" w:rsidR="00860204" w:rsidRPr="00BA5EB0" w:rsidRDefault="00860204" w:rsidP="005B6BDB">
            <w:pPr>
              <w:jc w:val="center"/>
              <w:rPr>
                <w:rFonts w:ascii="Comic Sans MS" w:hAnsi="Comic Sans MS"/>
                <w:b/>
                <w:bCs/>
                <w:sz w:val="20"/>
                <w:szCs w:val="20"/>
              </w:rPr>
            </w:pPr>
            <w:r w:rsidRPr="00BA5EB0">
              <w:rPr>
                <w:rFonts w:ascii="Comic Sans MS" w:hAnsi="Comic Sans MS"/>
                <w:b/>
                <w:bCs/>
                <w:sz w:val="20"/>
                <w:szCs w:val="20"/>
              </w:rPr>
              <w:t>Aire paysagère - Atlas</w:t>
            </w:r>
          </w:p>
        </w:tc>
        <w:tc>
          <w:tcPr>
            <w:tcW w:w="1627" w:type="dxa"/>
            <w:vAlign w:val="center"/>
            <w:hideMark/>
          </w:tcPr>
          <w:p w14:paraId="49C83A8E" w14:textId="77777777" w:rsidR="00860204" w:rsidRPr="00BA5EB0" w:rsidRDefault="00860204" w:rsidP="005B6BDB">
            <w:pPr>
              <w:jc w:val="center"/>
              <w:rPr>
                <w:rFonts w:ascii="Comic Sans MS" w:hAnsi="Comic Sans MS"/>
                <w:b/>
                <w:bCs/>
                <w:sz w:val="20"/>
                <w:szCs w:val="20"/>
              </w:rPr>
            </w:pPr>
            <w:r w:rsidRPr="00BA5EB0">
              <w:rPr>
                <w:rFonts w:ascii="Comic Sans MS" w:hAnsi="Comic Sans MS"/>
                <w:b/>
                <w:bCs/>
                <w:sz w:val="20"/>
                <w:szCs w:val="20"/>
              </w:rPr>
              <w:t>Entité paysagère</w:t>
            </w:r>
          </w:p>
        </w:tc>
        <w:tc>
          <w:tcPr>
            <w:tcW w:w="1560" w:type="dxa"/>
            <w:vAlign w:val="center"/>
            <w:hideMark/>
          </w:tcPr>
          <w:p w14:paraId="217B2E55" w14:textId="77777777" w:rsidR="00860204" w:rsidRPr="00BA5EB0" w:rsidRDefault="00860204" w:rsidP="005B6BDB">
            <w:pPr>
              <w:jc w:val="center"/>
              <w:rPr>
                <w:rFonts w:ascii="Comic Sans MS" w:hAnsi="Comic Sans MS"/>
                <w:b/>
                <w:bCs/>
                <w:sz w:val="20"/>
                <w:szCs w:val="20"/>
              </w:rPr>
            </w:pPr>
            <w:r w:rsidRPr="00BA5EB0">
              <w:rPr>
                <w:rFonts w:ascii="Comic Sans MS" w:hAnsi="Comic Sans MS"/>
                <w:b/>
                <w:bCs/>
                <w:sz w:val="20"/>
                <w:szCs w:val="20"/>
              </w:rPr>
              <w:t>Entité paysagère</w:t>
            </w:r>
          </w:p>
        </w:tc>
        <w:tc>
          <w:tcPr>
            <w:tcW w:w="1675" w:type="dxa"/>
            <w:vAlign w:val="center"/>
            <w:hideMark/>
          </w:tcPr>
          <w:p w14:paraId="0DAD3711" w14:textId="77777777" w:rsidR="00860204" w:rsidRPr="00BA5EB0" w:rsidRDefault="00860204" w:rsidP="005B6BDB">
            <w:pPr>
              <w:jc w:val="center"/>
              <w:rPr>
                <w:rFonts w:ascii="Comic Sans MS" w:hAnsi="Comic Sans MS"/>
                <w:b/>
                <w:bCs/>
                <w:sz w:val="20"/>
                <w:szCs w:val="20"/>
              </w:rPr>
            </w:pPr>
            <w:r w:rsidRPr="00BA5EB0">
              <w:rPr>
                <w:rFonts w:ascii="Comic Sans MS" w:hAnsi="Comic Sans MS"/>
                <w:b/>
                <w:bCs/>
                <w:sz w:val="20"/>
                <w:szCs w:val="20"/>
              </w:rPr>
              <w:t>Faciès paysagers</w:t>
            </w:r>
          </w:p>
        </w:tc>
        <w:tc>
          <w:tcPr>
            <w:tcW w:w="4544" w:type="dxa"/>
            <w:vMerge/>
            <w:vAlign w:val="center"/>
            <w:hideMark/>
          </w:tcPr>
          <w:p w14:paraId="492645E4" w14:textId="77777777" w:rsidR="00860204" w:rsidRPr="00BA5EB0" w:rsidRDefault="00860204" w:rsidP="005B6BDB">
            <w:pPr>
              <w:rPr>
                <w:rFonts w:ascii="Comic Sans MS" w:hAnsi="Comic Sans MS"/>
                <w:b/>
                <w:bCs/>
                <w:sz w:val="20"/>
                <w:szCs w:val="20"/>
              </w:rPr>
            </w:pPr>
          </w:p>
        </w:tc>
      </w:tr>
      <w:tr w:rsidR="00860204" w:rsidRPr="00BA5EB0" w14:paraId="4CD2EF88" w14:textId="77777777" w:rsidTr="004C4972">
        <w:trPr>
          <w:trHeight w:val="1344"/>
        </w:trPr>
        <w:tc>
          <w:tcPr>
            <w:tcW w:w="1255" w:type="dxa"/>
            <w:vMerge w:val="restart"/>
            <w:vAlign w:val="center"/>
            <w:hideMark/>
          </w:tcPr>
          <w:p w14:paraId="2100F099"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La Haine et la Sambre (05)</w:t>
            </w:r>
          </w:p>
        </w:tc>
        <w:tc>
          <w:tcPr>
            <w:tcW w:w="1771" w:type="dxa"/>
            <w:vAlign w:val="center"/>
            <w:hideMark/>
          </w:tcPr>
          <w:p w14:paraId="3C1AD747"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Dépression de la Basse-Haine (05020)</w:t>
            </w:r>
          </w:p>
        </w:tc>
        <w:tc>
          <w:tcPr>
            <w:tcW w:w="1562" w:type="dxa"/>
            <w:vAlign w:val="center"/>
            <w:hideMark/>
          </w:tcPr>
          <w:p w14:paraId="6CC19362"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Dépression de la Basse-Haine</w:t>
            </w:r>
          </w:p>
        </w:tc>
        <w:tc>
          <w:tcPr>
            <w:tcW w:w="1627" w:type="dxa"/>
            <w:vAlign w:val="center"/>
            <w:hideMark/>
          </w:tcPr>
          <w:p w14:paraId="59401993"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Dépression de la Haine / Hayne</w:t>
            </w:r>
            <w:r w:rsidRPr="00BA5EB0">
              <w:rPr>
                <w:rFonts w:ascii="Comic Sans MS" w:hAnsi="Comic Sans MS"/>
                <w:sz w:val="20"/>
                <w:szCs w:val="20"/>
              </w:rPr>
              <w:br/>
              <w:t>(Versant de la Haine)</w:t>
            </w:r>
          </w:p>
        </w:tc>
        <w:tc>
          <w:tcPr>
            <w:tcW w:w="1560" w:type="dxa"/>
            <w:vAlign w:val="center"/>
            <w:hideMark/>
          </w:tcPr>
          <w:p w14:paraId="0B2209BA"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Dépression de la Haine</w:t>
            </w:r>
          </w:p>
        </w:tc>
        <w:tc>
          <w:tcPr>
            <w:tcW w:w="1675" w:type="dxa"/>
            <w:vAlign w:val="center"/>
            <w:hideMark/>
          </w:tcPr>
          <w:p w14:paraId="33DBD892"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Forêt de Bon-Secours, Noyau bâti de Bernissart, Versant de la Haine, Plaine humide de la Haine</w:t>
            </w:r>
          </w:p>
        </w:tc>
        <w:tc>
          <w:tcPr>
            <w:tcW w:w="4544" w:type="dxa"/>
            <w:vAlign w:val="center"/>
            <w:hideMark/>
          </w:tcPr>
          <w:p w14:paraId="14103521" w14:textId="77777777" w:rsidR="00860204" w:rsidRPr="00BA5EB0" w:rsidRDefault="00860204" w:rsidP="005B6BDB">
            <w:pPr>
              <w:jc w:val="both"/>
              <w:rPr>
                <w:rFonts w:ascii="Comic Sans MS" w:hAnsi="Comic Sans MS"/>
                <w:sz w:val="20"/>
                <w:szCs w:val="20"/>
              </w:rPr>
            </w:pPr>
            <w:r w:rsidRPr="00BA5EB0">
              <w:rPr>
                <w:rFonts w:ascii="Comic Sans MS" w:hAnsi="Comic Sans MS"/>
                <w:sz w:val="20"/>
                <w:szCs w:val="20"/>
              </w:rPr>
              <w:t>Les différences de limites s’expliquent par l’antériorité de la division PNPE par rapport au découpage wallon. Les noms ont été adaptés aux spécificités locales et mis en lien avec les vocations du territoire du PNPE. Liens avec la dynamique transfrontalière.</w:t>
            </w:r>
          </w:p>
        </w:tc>
      </w:tr>
      <w:tr w:rsidR="00860204" w:rsidRPr="00BA5EB0" w14:paraId="3D6F7A8B" w14:textId="77777777" w:rsidTr="004C4972">
        <w:trPr>
          <w:trHeight w:val="1380"/>
        </w:trPr>
        <w:tc>
          <w:tcPr>
            <w:tcW w:w="1255" w:type="dxa"/>
            <w:vMerge/>
            <w:vAlign w:val="center"/>
            <w:hideMark/>
          </w:tcPr>
          <w:p w14:paraId="533C0541" w14:textId="77777777" w:rsidR="00860204" w:rsidRPr="00BA5EB0" w:rsidRDefault="00860204" w:rsidP="005B6BDB">
            <w:pPr>
              <w:jc w:val="center"/>
              <w:rPr>
                <w:rFonts w:ascii="Comic Sans MS" w:hAnsi="Comic Sans MS"/>
                <w:sz w:val="20"/>
                <w:szCs w:val="20"/>
              </w:rPr>
            </w:pPr>
          </w:p>
        </w:tc>
        <w:tc>
          <w:tcPr>
            <w:tcW w:w="1771" w:type="dxa"/>
            <w:vAlign w:val="center"/>
            <w:hideMark/>
          </w:tcPr>
          <w:p w14:paraId="40A26814"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Bordure forestière de la Plaine de la Haine (05010)</w:t>
            </w:r>
          </w:p>
        </w:tc>
        <w:tc>
          <w:tcPr>
            <w:tcW w:w="1562" w:type="dxa"/>
            <w:vAlign w:val="center"/>
            <w:hideMark/>
          </w:tcPr>
          <w:p w14:paraId="317F9C76"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Bordure forestière de la Plaine de la Haine</w:t>
            </w:r>
          </w:p>
        </w:tc>
        <w:tc>
          <w:tcPr>
            <w:tcW w:w="1627" w:type="dxa"/>
            <w:vAlign w:val="center"/>
            <w:hideMark/>
          </w:tcPr>
          <w:p w14:paraId="07A22281"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Versant humide de l'Escaut</w:t>
            </w:r>
          </w:p>
        </w:tc>
        <w:tc>
          <w:tcPr>
            <w:tcW w:w="1560" w:type="dxa"/>
            <w:vAlign w:val="center"/>
            <w:hideMark/>
          </w:tcPr>
          <w:p w14:paraId="721254D9"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Versant humide de l'Escaut</w:t>
            </w:r>
          </w:p>
        </w:tc>
        <w:tc>
          <w:tcPr>
            <w:tcW w:w="1675" w:type="dxa"/>
            <w:vAlign w:val="center"/>
            <w:hideMark/>
          </w:tcPr>
          <w:p w14:paraId="444E0C8E"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Verne de Basècles</w:t>
            </w:r>
          </w:p>
        </w:tc>
        <w:tc>
          <w:tcPr>
            <w:tcW w:w="4544" w:type="dxa"/>
            <w:vAlign w:val="center"/>
            <w:hideMark/>
          </w:tcPr>
          <w:p w14:paraId="01448A04" w14:textId="77777777" w:rsidR="00860204" w:rsidRPr="00BA5EB0" w:rsidRDefault="00860204" w:rsidP="005B6BDB">
            <w:pPr>
              <w:jc w:val="both"/>
              <w:rPr>
                <w:rFonts w:ascii="Comic Sans MS" w:hAnsi="Comic Sans MS"/>
                <w:sz w:val="20"/>
                <w:szCs w:val="20"/>
              </w:rPr>
            </w:pPr>
            <w:r w:rsidRPr="00BA5EB0">
              <w:rPr>
                <w:rFonts w:ascii="Comic Sans MS" w:hAnsi="Comic Sans MS"/>
                <w:sz w:val="20"/>
                <w:szCs w:val="20"/>
              </w:rPr>
              <w:t>Les différences de limites s’expliquent par l’antériorité de la division PNPE par rapport au découpage wallon. Les noms ont été adaptés aux spécificités locales et mis en lien avec les vocations du territoire du PNPE. Liens avec la dynamique transfrontalière.</w:t>
            </w:r>
          </w:p>
        </w:tc>
      </w:tr>
      <w:tr w:rsidR="00860204" w:rsidRPr="00BA5EB0" w14:paraId="11829562" w14:textId="77777777" w:rsidTr="004C4972">
        <w:trPr>
          <w:trHeight w:val="1476"/>
        </w:trPr>
        <w:tc>
          <w:tcPr>
            <w:tcW w:w="1255" w:type="dxa"/>
            <w:vMerge w:val="restart"/>
            <w:vAlign w:val="center"/>
            <w:hideMark/>
          </w:tcPr>
          <w:p w14:paraId="78BCFE16"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Trans - ensembles paysagers</w:t>
            </w:r>
          </w:p>
        </w:tc>
        <w:tc>
          <w:tcPr>
            <w:tcW w:w="1771" w:type="dxa"/>
            <w:vAlign w:val="center"/>
            <w:hideMark/>
          </w:tcPr>
          <w:p w14:paraId="056C8443" w14:textId="77777777" w:rsidR="00860204" w:rsidRPr="00BA5EB0" w:rsidRDefault="00860204" w:rsidP="005B6BDB">
            <w:pPr>
              <w:jc w:val="center"/>
              <w:rPr>
                <w:rFonts w:ascii="Comic Sans MS" w:hAnsi="Comic Sans MS"/>
                <w:sz w:val="20"/>
                <w:szCs w:val="20"/>
              </w:rPr>
            </w:pPr>
          </w:p>
        </w:tc>
        <w:tc>
          <w:tcPr>
            <w:tcW w:w="1562" w:type="dxa"/>
            <w:vAlign w:val="center"/>
            <w:hideMark/>
          </w:tcPr>
          <w:p w14:paraId="2F1AB1F8" w14:textId="77777777" w:rsidR="00860204" w:rsidRPr="00BA5EB0" w:rsidRDefault="00860204" w:rsidP="005B6BDB">
            <w:pPr>
              <w:jc w:val="center"/>
              <w:rPr>
                <w:rFonts w:ascii="Comic Sans MS" w:hAnsi="Comic Sans MS"/>
                <w:sz w:val="20"/>
                <w:szCs w:val="20"/>
              </w:rPr>
            </w:pPr>
          </w:p>
        </w:tc>
        <w:tc>
          <w:tcPr>
            <w:tcW w:w="1627" w:type="dxa"/>
            <w:vAlign w:val="center"/>
            <w:hideMark/>
          </w:tcPr>
          <w:p w14:paraId="2E2A3057" w14:textId="77777777" w:rsidR="00860204" w:rsidRPr="00BA5EB0" w:rsidRDefault="00860204" w:rsidP="005B6BDB">
            <w:pPr>
              <w:jc w:val="center"/>
              <w:rPr>
                <w:rFonts w:ascii="Comic Sans MS" w:hAnsi="Comic Sans MS"/>
                <w:sz w:val="20"/>
                <w:szCs w:val="20"/>
              </w:rPr>
            </w:pPr>
          </w:p>
        </w:tc>
        <w:tc>
          <w:tcPr>
            <w:tcW w:w="1560" w:type="dxa"/>
            <w:vAlign w:val="center"/>
            <w:hideMark/>
          </w:tcPr>
          <w:p w14:paraId="238D4AC1"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Paysages intérieurs des canaux</w:t>
            </w:r>
          </w:p>
        </w:tc>
        <w:tc>
          <w:tcPr>
            <w:tcW w:w="1675" w:type="dxa"/>
            <w:vAlign w:val="center"/>
            <w:hideMark/>
          </w:tcPr>
          <w:p w14:paraId="7E799D16"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Canal Nimy-Blaton-Péronnes, Canal désaffecté Callenelle-Péronnes, Canal Blaton-Ath, Canal désaffecté de Pommeroeul-Blaton, Canal Pommeroeul-Condé</w:t>
            </w:r>
          </w:p>
        </w:tc>
        <w:tc>
          <w:tcPr>
            <w:tcW w:w="4544" w:type="dxa"/>
            <w:vAlign w:val="center"/>
            <w:hideMark/>
          </w:tcPr>
          <w:p w14:paraId="1A8C4011" w14:textId="77777777" w:rsidR="00860204" w:rsidRPr="00BA5EB0" w:rsidRDefault="00860204" w:rsidP="005B6BDB">
            <w:pPr>
              <w:jc w:val="both"/>
              <w:rPr>
                <w:rFonts w:ascii="Comic Sans MS" w:hAnsi="Comic Sans MS"/>
                <w:sz w:val="20"/>
                <w:szCs w:val="20"/>
              </w:rPr>
            </w:pPr>
            <w:r w:rsidRPr="00BA5EB0">
              <w:rPr>
                <w:rFonts w:ascii="Comic Sans MS" w:hAnsi="Comic Sans MS"/>
                <w:sz w:val="20"/>
                <w:szCs w:val="20"/>
              </w:rPr>
              <w:t xml:space="preserve">Entité spécifique au PNPE (selon une autre logique que la méthode CPDT) pour répondre à une caractéristique paysagère propre au territoire du PNPE : la richesse du territoire en voies d’eau de tailles diverses. Cette entité se superpose aux autres entités. </w:t>
            </w:r>
          </w:p>
        </w:tc>
      </w:tr>
      <w:tr w:rsidR="00860204" w:rsidRPr="00BA5EB0" w14:paraId="401D45D3" w14:textId="77777777" w:rsidTr="004C4972">
        <w:trPr>
          <w:trHeight w:val="1946"/>
        </w:trPr>
        <w:tc>
          <w:tcPr>
            <w:tcW w:w="1255" w:type="dxa"/>
            <w:vMerge/>
            <w:hideMark/>
          </w:tcPr>
          <w:p w14:paraId="59A995D6" w14:textId="77777777" w:rsidR="00860204" w:rsidRPr="00BA5EB0" w:rsidRDefault="00860204" w:rsidP="005B6BDB">
            <w:pPr>
              <w:rPr>
                <w:rFonts w:ascii="Comic Sans MS" w:hAnsi="Comic Sans MS"/>
                <w:sz w:val="20"/>
                <w:szCs w:val="20"/>
              </w:rPr>
            </w:pPr>
          </w:p>
        </w:tc>
        <w:tc>
          <w:tcPr>
            <w:tcW w:w="1771" w:type="dxa"/>
            <w:hideMark/>
          </w:tcPr>
          <w:p w14:paraId="59E60649" w14:textId="77777777" w:rsidR="00860204" w:rsidRPr="00BA5EB0" w:rsidRDefault="00860204" w:rsidP="005B6BDB">
            <w:pPr>
              <w:rPr>
                <w:rFonts w:ascii="Comic Sans MS" w:hAnsi="Comic Sans MS"/>
                <w:sz w:val="20"/>
                <w:szCs w:val="20"/>
              </w:rPr>
            </w:pPr>
            <w:r w:rsidRPr="00BA5EB0">
              <w:rPr>
                <w:rFonts w:ascii="Comic Sans MS" w:hAnsi="Comic Sans MS"/>
                <w:sz w:val="20"/>
                <w:szCs w:val="20"/>
              </w:rPr>
              <w:t> </w:t>
            </w:r>
          </w:p>
        </w:tc>
        <w:tc>
          <w:tcPr>
            <w:tcW w:w="1562" w:type="dxa"/>
            <w:hideMark/>
          </w:tcPr>
          <w:p w14:paraId="688C0CA9" w14:textId="77777777" w:rsidR="00860204" w:rsidRPr="00BA5EB0" w:rsidRDefault="00860204" w:rsidP="005B6BDB">
            <w:pPr>
              <w:rPr>
                <w:rFonts w:ascii="Comic Sans MS" w:hAnsi="Comic Sans MS"/>
                <w:sz w:val="20"/>
                <w:szCs w:val="20"/>
              </w:rPr>
            </w:pPr>
            <w:r w:rsidRPr="00BA5EB0">
              <w:rPr>
                <w:rFonts w:ascii="Comic Sans MS" w:hAnsi="Comic Sans MS"/>
                <w:sz w:val="20"/>
                <w:szCs w:val="20"/>
              </w:rPr>
              <w:t> </w:t>
            </w:r>
          </w:p>
        </w:tc>
        <w:tc>
          <w:tcPr>
            <w:tcW w:w="1627" w:type="dxa"/>
            <w:vAlign w:val="center"/>
            <w:hideMark/>
          </w:tcPr>
          <w:p w14:paraId="5FCEB00B"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Vallée de l'Escaut</w:t>
            </w:r>
            <w:r w:rsidRPr="00BA5EB0">
              <w:rPr>
                <w:rFonts w:ascii="Comic Sans MS" w:hAnsi="Comic Sans MS"/>
                <w:sz w:val="20"/>
                <w:szCs w:val="20"/>
              </w:rPr>
              <w:br/>
              <w:t>(Escaut alluvial)</w:t>
            </w:r>
          </w:p>
        </w:tc>
        <w:tc>
          <w:tcPr>
            <w:tcW w:w="1560" w:type="dxa"/>
            <w:vAlign w:val="center"/>
            <w:hideMark/>
          </w:tcPr>
          <w:p w14:paraId="1744917B"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Vallée de l'Escaut</w:t>
            </w:r>
          </w:p>
        </w:tc>
        <w:tc>
          <w:tcPr>
            <w:tcW w:w="1675" w:type="dxa"/>
            <w:vAlign w:val="center"/>
            <w:hideMark/>
          </w:tcPr>
          <w:p w14:paraId="3C8DDC59"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Escaut urbanisé, Plaine humide de l'Escaut (nord et sud), Escaut industrialisé (nord et sud)</w:t>
            </w:r>
          </w:p>
        </w:tc>
        <w:tc>
          <w:tcPr>
            <w:tcW w:w="4544" w:type="dxa"/>
            <w:hideMark/>
          </w:tcPr>
          <w:p w14:paraId="294B12CF" w14:textId="77777777" w:rsidR="00860204" w:rsidRPr="00BA5EB0" w:rsidRDefault="00860204" w:rsidP="005B6BDB">
            <w:pPr>
              <w:jc w:val="both"/>
              <w:rPr>
                <w:rFonts w:ascii="Comic Sans MS" w:hAnsi="Comic Sans MS"/>
                <w:sz w:val="20"/>
                <w:szCs w:val="20"/>
              </w:rPr>
            </w:pPr>
            <w:r w:rsidRPr="00BA5EB0">
              <w:rPr>
                <w:rFonts w:ascii="Comic Sans MS" w:hAnsi="Comic Sans MS"/>
                <w:sz w:val="20"/>
                <w:szCs w:val="20"/>
              </w:rPr>
              <w:t>Entité spécifique au PNPE (selon une autre logique que la méthode CPDT) pour répondre à une caractéristique paysagère propre au territoire du PNPE : la richesse du territoire en voies d’eau de tailles diverses. L’Escaut forme la colonne vertébrale nord-ouest/sud-est du Parc naturel et lui donne son identité et son nom. En outre, le fleuve assure la liaison avec l'extension du Parc naturel sur Tournai. Liens avec la dynamique transfrontalière.</w:t>
            </w:r>
          </w:p>
        </w:tc>
      </w:tr>
      <w:tr w:rsidR="00860204" w:rsidRPr="00BA5EB0" w14:paraId="1E580D79" w14:textId="77777777" w:rsidTr="004C4972">
        <w:trPr>
          <w:trHeight w:val="1152"/>
        </w:trPr>
        <w:tc>
          <w:tcPr>
            <w:tcW w:w="1255" w:type="dxa"/>
            <w:vMerge w:val="restart"/>
            <w:vAlign w:val="center"/>
            <w:hideMark/>
          </w:tcPr>
          <w:p w14:paraId="3E0C7317"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Plaine et bas plateau hennuyers (01)</w:t>
            </w:r>
          </w:p>
        </w:tc>
        <w:tc>
          <w:tcPr>
            <w:tcW w:w="1771" w:type="dxa"/>
            <w:vMerge w:val="restart"/>
            <w:vAlign w:val="center"/>
            <w:hideMark/>
          </w:tcPr>
          <w:p w14:paraId="7EA7FF1C"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Plaine humide de l'Escaut (01110)</w:t>
            </w:r>
          </w:p>
        </w:tc>
        <w:tc>
          <w:tcPr>
            <w:tcW w:w="1562" w:type="dxa"/>
            <w:vMerge w:val="restart"/>
            <w:vAlign w:val="center"/>
            <w:hideMark/>
          </w:tcPr>
          <w:p w14:paraId="0DF2D980"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Plaines humides de l'Escaut et des Vernes</w:t>
            </w:r>
          </w:p>
        </w:tc>
        <w:tc>
          <w:tcPr>
            <w:tcW w:w="1627" w:type="dxa"/>
            <w:vAlign w:val="center"/>
            <w:hideMark/>
          </w:tcPr>
          <w:p w14:paraId="388EAE96"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Versant de la Pévèle</w:t>
            </w:r>
          </w:p>
        </w:tc>
        <w:tc>
          <w:tcPr>
            <w:tcW w:w="1560" w:type="dxa"/>
            <w:vAlign w:val="center"/>
            <w:hideMark/>
          </w:tcPr>
          <w:p w14:paraId="54CC74FA"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Versant humide de la Pévèle</w:t>
            </w:r>
          </w:p>
        </w:tc>
        <w:tc>
          <w:tcPr>
            <w:tcW w:w="1675" w:type="dxa"/>
            <w:vAlign w:val="center"/>
            <w:hideMark/>
          </w:tcPr>
          <w:p w14:paraId="42B07569" w14:textId="035C0C80" w:rsidR="00860204" w:rsidRPr="00BA5EB0" w:rsidRDefault="004C4972" w:rsidP="005B6BDB">
            <w:pPr>
              <w:jc w:val="center"/>
              <w:rPr>
                <w:rFonts w:ascii="Comic Sans MS" w:hAnsi="Comic Sans MS"/>
                <w:sz w:val="20"/>
                <w:szCs w:val="20"/>
              </w:rPr>
            </w:pPr>
            <w:r>
              <w:rPr>
                <w:rFonts w:ascii="Comic Sans MS" w:hAnsi="Comic Sans MS"/>
                <w:sz w:val="20"/>
                <w:szCs w:val="20"/>
              </w:rPr>
              <w:t>Vallée de l'Elnon, Bords de</w:t>
            </w:r>
            <w:r w:rsidR="00A97182">
              <w:rPr>
                <w:rFonts w:ascii="Comic Sans MS" w:hAnsi="Comic Sans MS"/>
                <w:sz w:val="20"/>
                <w:szCs w:val="20"/>
              </w:rPr>
              <w:t xml:space="preserve"> S</w:t>
            </w:r>
            <w:r w:rsidR="00860204" w:rsidRPr="00BA5EB0">
              <w:rPr>
                <w:rFonts w:ascii="Comic Sans MS" w:hAnsi="Comic Sans MS"/>
                <w:sz w:val="20"/>
                <w:szCs w:val="20"/>
              </w:rPr>
              <w:t>euw</w:t>
            </w:r>
          </w:p>
        </w:tc>
        <w:tc>
          <w:tcPr>
            <w:tcW w:w="4544" w:type="dxa"/>
            <w:hideMark/>
          </w:tcPr>
          <w:p w14:paraId="069507C7" w14:textId="77777777" w:rsidR="00860204" w:rsidRPr="00BA5EB0" w:rsidRDefault="00860204" w:rsidP="005B6BDB">
            <w:pPr>
              <w:jc w:val="both"/>
              <w:rPr>
                <w:rFonts w:ascii="Comic Sans MS" w:hAnsi="Comic Sans MS"/>
                <w:sz w:val="20"/>
                <w:szCs w:val="20"/>
              </w:rPr>
            </w:pPr>
            <w:r w:rsidRPr="00BA5EB0">
              <w:rPr>
                <w:rFonts w:ascii="Comic Sans MS" w:hAnsi="Comic Sans MS"/>
                <w:sz w:val="20"/>
                <w:szCs w:val="20"/>
              </w:rPr>
              <w:t>Les différences de limites  s’expliquent par l’antériorité de la division PNPE par rapport au découpage wallon. Les noms ont été adaptés aux spécificités locales et mis en lien avec les vocations du territoire du PNPE. Liens avec la dynamique transfrontalière.</w:t>
            </w:r>
          </w:p>
        </w:tc>
      </w:tr>
      <w:tr w:rsidR="00860204" w:rsidRPr="00BA5EB0" w14:paraId="51190937" w14:textId="77777777" w:rsidTr="004C4972">
        <w:trPr>
          <w:trHeight w:val="1152"/>
        </w:trPr>
        <w:tc>
          <w:tcPr>
            <w:tcW w:w="1255" w:type="dxa"/>
            <w:vMerge/>
            <w:vAlign w:val="center"/>
            <w:hideMark/>
          </w:tcPr>
          <w:p w14:paraId="3309ACEE" w14:textId="77777777" w:rsidR="00860204" w:rsidRPr="00BA5EB0" w:rsidRDefault="00860204" w:rsidP="005B6BDB">
            <w:pPr>
              <w:jc w:val="center"/>
              <w:rPr>
                <w:rFonts w:ascii="Comic Sans MS" w:hAnsi="Comic Sans MS"/>
                <w:sz w:val="20"/>
                <w:szCs w:val="20"/>
              </w:rPr>
            </w:pPr>
          </w:p>
        </w:tc>
        <w:tc>
          <w:tcPr>
            <w:tcW w:w="1771" w:type="dxa"/>
            <w:vMerge/>
            <w:vAlign w:val="center"/>
            <w:hideMark/>
          </w:tcPr>
          <w:p w14:paraId="153BF55D" w14:textId="77777777" w:rsidR="00860204" w:rsidRPr="00BA5EB0" w:rsidRDefault="00860204" w:rsidP="005B6BDB">
            <w:pPr>
              <w:jc w:val="center"/>
              <w:rPr>
                <w:rFonts w:ascii="Comic Sans MS" w:hAnsi="Comic Sans MS"/>
                <w:sz w:val="20"/>
                <w:szCs w:val="20"/>
              </w:rPr>
            </w:pPr>
          </w:p>
        </w:tc>
        <w:tc>
          <w:tcPr>
            <w:tcW w:w="1562" w:type="dxa"/>
            <w:vMerge/>
            <w:vAlign w:val="center"/>
            <w:hideMark/>
          </w:tcPr>
          <w:p w14:paraId="3840AE87" w14:textId="77777777" w:rsidR="00860204" w:rsidRPr="00BA5EB0" w:rsidRDefault="00860204" w:rsidP="005B6BDB">
            <w:pPr>
              <w:jc w:val="center"/>
              <w:rPr>
                <w:rFonts w:ascii="Comic Sans MS" w:hAnsi="Comic Sans MS"/>
                <w:sz w:val="20"/>
                <w:szCs w:val="20"/>
              </w:rPr>
            </w:pPr>
          </w:p>
        </w:tc>
        <w:tc>
          <w:tcPr>
            <w:tcW w:w="1627" w:type="dxa"/>
            <w:vAlign w:val="center"/>
            <w:hideMark/>
          </w:tcPr>
          <w:p w14:paraId="24743E4C"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Versant humide de l'Escaut</w:t>
            </w:r>
          </w:p>
        </w:tc>
        <w:tc>
          <w:tcPr>
            <w:tcW w:w="1560" w:type="dxa"/>
            <w:vAlign w:val="center"/>
            <w:hideMark/>
          </w:tcPr>
          <w:p w14:paraId="1A86A781"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Versant humide de l'Escaut</w:t>
            </w:r>
          </w:p>
        </w:tc>
        <w:tc>
          <w:tcPr>
            <w:tcW w:w="1675" w:type="dxa"/>
            <w:vAlign w:val="center"/>
            <w:hideMark/>
          </w:tcPr>
          <w:p w14:paraId="3AD4B4B0"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Urbanisation de Péruwelz, Verne de Bury, Val de Vernes</w:t>
            </w:r>
          </w:p>
        </w:tc>
        <w:tc>
          <w:tcPr>
            <w:tcW w:w="4544" w:type="dxa"/>
            <w:hideMark/>
          </w:tcPr>
          <w:p w14:paraId="0D249FF4" w14:textId="77777777" w:rsidR="00860204" w:rsidRPr="00BA5EB0" w:rsidRDefault="00860204" w:rsidP="005B6BDB">
            <w:pPr>
              <w:jc w:val="both"/>
              <w:rPr>
                <w:rFonts w:ascii="Comic Sans MS" w:hAnsi="Comic Sans MS"/>
                <w:sz w:val="20"/>
                <w:szCs w:val="20"/>
              </w:rPr>
            </w:pPr>
            <w:r w:rsidRPr="00BA5EB0">
              <w:rPr>
                <w:rFonts w:ascii="Comic Sans MS" w:hAnsi="Comic Sans MS"/>
                <w:sz w:val="20"/>
                <w:szCs w:val="20"/>
              </w:rPr>
              <w:t>Les différences de limites  s’expliquent par l’antériorité de la division PNPE par rapport au découpage wallon. Les noms ont été adaptés aux spécificités locales et mis en lien avec les vocations du territoire du PNPE. Liens avec la dynamique transfrontalière.</w:t>
            </w:r>
          </w:p>
        </w:tc>
      </w:tr>
      <w:tr w:rsidR="00860204" w:rsidRPr="00BA5EB0" w14:paraId="5260B0A1" w14:textId="77777777" w:rsidTr="004C4972">
        <w:trPr>
          <w:trHeight w:val="812"/>
        </w:trPr>
        <w:tc>
          <w:tcPr>
            <w:tcW w:w="1255" w:type="dxa"/>
            <w:vMerge/>
            <w:hideMark/>
          </w:tcPr>
          <w:p w14:paraId="488357F3" w14:textId="77777777" w:rsidR="00860204" w:rsidRPr="00BA5EB0" w:rsidRDefault="00860204" w:rsidP="005B6BDB">
            <w:pPr>
              <w:rPr>
                <w:rFonts w:ascii="Comic Sans MS" w:hAnsi="Comic Sans MS"/>
                <w:sz w:val="20"/>
                <w:szCs w:val="20"/>
              </w:rPr>
            </w:pPr>
          </w:p>
        </w:tc>
        <w:tc>
          <w:tcPr>
            <w:tcW w:w="1771" w:type="dxa"/>
            <w:vMerge w:val="restart"/>
            <w:vAlign w:val="center"/>
            <w:hideMark/>
          </w:tcPr>
          <w:p w14:paraId="71D1DE5D"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Bas plateau d'Ath et de Soignies (01100)</w:t>
            </w:r>
          </w:p>
        </w:tc>
        <w:tc>
          <w:tcPr>
            <w:tcW w:w="1562" w:type="dxa"/>
            <w:vMerge w:val="restart"/>
            <w:vAlign w:val="center"/>
            <w:hideMark/>
          </w:tcPr>
          <w:p w14:paraId="1B4C94DE"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Bas-plateau agricole tournaisien</w:t>
            </w:r>
          </w:p>
        </w:tc>
        <w:tc>
          <w:tcPr>
            <w:tcW w:w="1627" w:type="dxa"/>
            <w:vMerge w:val="restart"/>
            <w:vAlign w:val="center"/>
            <w:hideMark/>
          </w:tcPr>
          <w:p w14:paraId="63F7BE85"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Grandes cultures de la Pévèle</w:t>
            </w:r>
          </w:p>
        </w:tc>
        <w:tc>
          <w:tcPr>
            <w:tcW w:w="1560" w:type="dxa"/>
            <w:vMerge w:val="restart"/>
            <w:vAlign w:val="center"/>
            <w:hideMark/>
          </w:tcPr>
          <w:p w14:paraId="3254E529"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Plateau de la Pévèle</w:t>
            </w:r>
          </w:p>
        </w:tc>
        <w:tc>
          <w:tcPr>
            <w:tcW w:w="1675" w:type="dxa"/>
            <w:vMerge w:val="restart"/>
            <w:vAlign w:val="center"/>
            <w:hideMark/>
          </w:tcPr>
          <w:p w14:paraId="7DE81E7F"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Campagne ouverte du versant de l'Escaut, Pépinières de Lesdain, Forêt d'Howardries, Ondulations de Rumes-Taintignies, Rieu de Barges</w:t>
            </w:r>
          </w:p>
        </w:tc>
        <w:tc>
          <w:tcPr>
            <w:tcW w:w="4544" w:type="dxa"/>
            <w:vMerge w:val="restart"/>
            <w:hideMark/>
          </w:tcPr>
          <w:p w14:paraId="4CE6EEB7" w14:textId="77777777" w:rsidR="00860204" w:rsidRPr="00BA5EB0" w:rsidRDefault="00860204" w:rsidP="005B6BDB">
            <w:pPr>
              <w:jc w:val="both"/>
              <w:rPr>
                <w:rFonts w:ascii="Comic Sans MS" w:hAnsi="Comic Sans MS"/>
                <w:sz w:val="20"/>
                <w:szCs w:val="20"/>
              </w:rPr>
            </w:pPr>
            <w:r w:rsidRPr="00BA5EB0">
              <w:rPr>
                <w:rFonts w:ascii="Comic Sans MS" w:hAnsi="Comic Sans MS"/>
                <w:sz w:val="20"/>
                <w:szCs w:val="20"/>
              </w:rPr>
              <w:t>Les différences de limites  s’expliquent par l’antériorité de la division PNPE par rapport au découpage wallon. Les noms ont été adaptés aux spécificités locales et mis en lien avec les vocations du territoire du PNPE. Liens avec la dynamique transfrontalière.</w:t>
            </w:r>
            <w:r w:rsidRPr="00BA5EB0">
              <w:rPr>
                <w:rFonts w:ascii="Comic Sans MS" w:hAnsi="Comic Sans MS"/>
                <w:sz w:val="20"/>
                <w:szCs w:val="20"/>
              </w:rPr>
              <w:br/>
              <w:t xml:space="preserve">Un nouveau faciès (le Rieu de Barges)  pour prendre en compte l'extension sur Tournai a été ajouté sur base du travail CPDT 2005 et validé sur le terrain (PNPE). Ce faciès est très partiellement en dehors de l’extension proposée du territoire du PNPE. Les principaux critères utilisés pour fixer Les limites sont les bassins versants, les lignes de crête, les LVR, les enjeux et recommandations (travail sur les franges urbaines), les infrastructures (TGV).  </w:t>
            </w:r>
          </w:p>
        </w:tc>
      </w:tr>
      <w:tr w:rsidR="00860204" w:rsidRPr="00BA5EB0" w14:paraId="69AC5B88" w14:textId="77777777" w:rsidTr="004C4972">
        <w:trPr>
          <w:trHeight w:val="491"/>
        </w:trPr>
        <w:tc>
          <w:tcPr>
            <w:tcW w:w="1255" w:type="dxa"/>
            <w:vMerge/>
            <w:hideMark/>
          </w:tcPr>
          <w:p w14:paraId="6264FBA2" w14:textId="77777777" w:rsidR="00860204" w:rsidRPr="00BA5EB0" w:rsidRDefault="00860204" w:rsidP="005B6BDB">
            <w:pPr>
              <w:rPr>
                <w:rFonts w:ascii="Comic Sans MS" w:hAnsi="Comic Sans MS"/>
                <w:sz w:val="20"/>
                <w:szCs w:val="20"/>
              </w:rPr>
            </w:pPr>
          </w:p>
        </w:tc>
        <w:tc>
          <w:tcPr>
            <w:tcW w:w="1771" w:type="dxa"/>
            <w:vMerge/>
            <w:vAlign w:val="center"/>
            <w:hideMark/>
          </w:tcPr>
          <w:p w14:paraId="57166C50" w14:textId="77777777" w:rsidR="00860204" w:rsidRPr="00BA5EB0" w:rsidRDefault="00860204" w:rsidP="005B6BDB">
            <w:pPr>
              <w:jc w:val="center"/>
              <w:rPr>
                <w:rFonts w:ascii="Comic Sans MS" w:hAnsi="Comic Sans MS"/>
                <w:sz w:val="20"/>
                <w:szCs w:val="20"/>
              </w:rPr>
            </w:pPr>
          </w:p>
        </w:tc>
        <w:tc>
          <w:tcPr>
            <w:tcW w:w="1562" w:type="dxa"/>
            <w:vMerge/>
            <w:vAlign w:val="center"/>
            <w:hideMark/>
          </w:tcPr>
          <w:p w14:paraId="12461993" w14:textId="77777777" w:rsidR="00860204" w:rsidRPr="00BA5EB0" w:rsidRDefault="00860204" w:rsidP="005B6BDB">
            <w:pPr>
              <w:jc w:val="center"/>
              <w:rPr>
                <w:rFonts w:ascii="Comic Sans MS" w:hAnsi="Comic Sans MS"/>
                <w:sz w:val="20"/>
                <w:szCs w:val="20"/>
              </w:rPr>
            </w:pPr>
          </w:p>
        </w:tc>
        <w:tc>
          <w:tcPr>
            <w:tcW w:w="1627" w:type="dxa"/>
            <w:vMerge/>
            <w:vAlign w:val="center"/>
            <w:hideMark/>
          </w:tcPr>
          <w:p w14:paraId="264FCE15" w14:textId="77777777" w:rsidR="00860204" w:rsidRPr="00BA5EB0" w:rsidRDefault="00860204" w:rsidP="005B6BDB">
            <w:pPr>
              <w:jc w:val="center"/>
              <w:rPr>
                <w:rFonts w:ascii="Comic Sans MS" w:hAnsi="Comic Sans MS"/>
                <w:sz w:val="20"/>
                <w:szCs w:val="20"/>
              </w:rPr>
            </w:pPr>
          </w:p>
        </w:tc>
        <w:tc>
          <w:tcPr>
            <w:tcW w:w="1560" w:type="dxa"/>
            <w:vMerge/>
            <w:vAlign w:val="center"/>
            <w:hideMark/>
          </w:tcPr>
          <w:p w14:paraId="5EA1BF83" w14:textId="77777777" w:rsidR="00860204" w:rsidRPr="00BA5EB0" w:rsidRDefault="00860204" w:rsidP="005B6BDB">
            <w:pPr>
              <w:jc w:val="center"/>
              <w:rPr>
                <w:rFonts w:ascii="Comic Sans MS" w:hAnsi="Comic Sans MS"/>
                <w:sz w:val="20"/>
                <w:szCs w:val="20"/>
              </w:rPr>
            </w:pPr>
          </w:p>
        </w:tc>
        <w:tc>
          <w:tcPr>
            <w:tcW w:w="1675" w:type="dxa"/>
            <w:vMerge/>
            <w:vAlign w:val="center"/>
            <w:hideMark/>
          </w:tcPr>
          <w:p w14:paraId="7E3CF428" w14:textId="77777777" w:rsidR="00860204" w:rsidRPr="00BA5EB0" w:rsidRDefault="00860204" w:rsidP="005B6BDB">
            <w:pPr>
              <w:jc w:val="center"/>
              <w:rPr>
                <w:rFonts w:ascii="Comic Sans MS" w:hAnsi="Comic Sans MS"/>
                <w:sz w:val="20"/>
                <w:szCs w:val="20"/>
              </w:rPr>
            </w:pPr>
          </w:p>
        </w:tc>
        <w:tc>
          <w:tcPr>
            <w:tcW w:w="4544" w:type="dxa"/>
            <w:vMerge/>
            <w:hideMark/>
          </w:tcPr>
          <w:p w14:paraId="036F8E22" w14:textId="77777777" w:rsidR="00860204" w:rsidRPr="00BA5EB0" w:rsidRDefault="00860204" w:rsidP="005B6BDB">
            <w:pPr>
              <w:jc w:val="both"/>
              <w:rPr>
                <w:rFonts w:ascii="Comic Sans MS" w:hAnsi="Comic Sans MS"/>
                <w:sz w:val="20"/>
                <w:szCs w:val="20"/>
              </w:rPr>
            </w:pPr>
          </w:p>
        </w:tc>
      </w:tr>
      <w:tr w:rsidR="00860204" w:rsidRPr="00BA5EB0" w14:paraId="0637C3BD" w14:textId="77777777" w:rsidTr="004C4972">
        <w:trPr>
          <w:trHeight w:val="888"/>
        </w:trPr>
        <w:tc>
          <w:tcPr>
            <w:tcW w:w="1255" w:type="dxa"/>
            <w:vMerge/>
            <w:hideMark/>
          </w:tcPr>
          <w:p w14:paraId="14405E8E" w14:textId="77777777" w:rsidR="00860204" w:rsidRPr="00BA5EB0" w:rsidRDefault="00860204" w:rsidP="005B6BDB">
            <w:pPr>
              <w:rPr>
                <w:rFonts w:ascii="Comic Sans MS" w:hAnsi="Comic Sans MS"/>
                <w:sz w:val="20"/>
                <w:szCs w:val="20"/>
              </w:rPr>
            </w:pPr>
          </w:p>
        </w:tc>
        <w:tc>
          <w:tcPr>
            <w:tcW w:w="1771" w:type="dxa"/>
            <w:vMerge/>
            <w:vAlign w:val="center"/>
            <w:hideMark/>
          </w:tcPr>
          <w:p w14:paraId="04782184" w14:textId="77777777" w:rsidR="00860204" w:rsidRPr="00BA5EB0" w:rsidRDefault="00860204" w:rsidP="005B6BDB">
            <w:pPr>
              <w:jc w:val="center"/>
              <w:rPr>
                <w:rFonts w:ascii="Comic Sans MS" w:hAnsi="Comic Sans MS"/>
                <w:sz w:val="20"/>
                <w:szCs w:val="20"/>
              </w:rPr>
            </w:pPr>
          </w:p>
        </w:tc>
        <w:tc>
          <w:tcPr>
            <w:tcW w:w="1562" w:type="dxa"/>
            <w:vMerge/>
            <w:vAlign w:val="center"/>
            <w:hideMark/>
          </w:tcPr>
          <w:p w14:paraId="0FAA73B6" w14:textId="77777777" w:rsidR="00860204" w:rsidRPr="00BA5EB0" w:rsidRDefault="00860204" w:rsidP="005B6BDB">
            <w:pPr>
              <w:jc w:val="center"/>
              <w:rPr>
                <w:rFonts w:ascii="Comic Sans MS" w:hAnsi="Comic Sans MS"/>
                <w:sz w:val="20"/>
                <w:szCs w:val="20"/>
              </w:rPr>
            </w:pPr>
          </w:p>
        </w:tc>
        <w:tc>
          <w:tcPr>
            <w:tcW w:w="1627" w:type="dxa"/>
            <w:vMerge/>
            <w:vAlign w:val="center"/>
            <w:hideMark/>
          </w:tcPr>
          <w:p w14:paraId="1925CDC8" w14:textId="77777777" w:rsidR="00860204" w:rsidRPr="00BA5EB0" w:rsidRDefault="00860204" w:rsidP="005B6BDB">
            <w:pPr>
              <w:jc w:val="center"/>
              <w:rPr>
                <w:rFonts w:ascii="Comic Sans MS" w:hAnsi="Comic Sans MS"/>
                <w:sz w:val="20"/>
                <w:szCs w:val="20"/>
              </w:rPr>
            </w:pPr>
          </w:p>
        </w:tc>
        <w:tc>
          <w:tcPr>
            <w:tcW w:w="1560" w:type="dxa"/>
            <w:vMerge/>
            <w:vAlign w:val="center"/>
            <w:hideMark/>
          </w:tcPr>
          <w:p w14:paraId="5A544221" w14:textId="77777777" w:rsidR="00860204" w:rsidRPr="00BA5EB0" w:rsidRDefault="00860204" w:rsidP="005B6BDB">
            <w:pPr>
              <w:jc w:val="center"/>
              <w:rPr>
                <w:rFonts w:ascii="Comic Sans MS" w:hAnsi="Comic Sans MS"/>
                <w:sz w:val="20"/>
                <w:szCs w:val="20"/>
              </w:rPr>
            </w:pPr>
          </w:p>
        </w:tc>
        <w:tc>
          <w:tcPr>
            <w:tcW w:w="1675" w:type="dxa"/>
            <w:vMerge/>
            <w:vAlign w:val="center"/>
            <w:hideMark/>
          </w:tcPr>
          <w:p w14:paraId="6D79C8F9" w14:textId="77777777" w:rsidR="00860204" w:rsidRPr="00BA5EB0" w:rsidRDefault="00860204" w:rsidP="005B6BDB">
            <w:pPr>
              <w:jc w:val="center"/>
              <w:rPr>
                <w:rFonts w:ascii="Comic Sans MS" w:hAnsi="Comic Sans MS"/>
                <w:sz w:val="20"/>
                <w:szCs w:val="20"/>
              </w:rPr>
            </w:pPr>
          </w:p>
        </w:tc>
        <w:tc>
          <w:tcPr>
            <w:tcW w:w="4544" w:type="dxa"/>
            <w:vMerge/>
            <w:hideMark/>
          </w:tcPr>
          <w:p w14:paraId="741FE241" w14:textId="77777777" w:rsidR="00860204" w:rsidRPr="00BA5EB0" w:rsidRDefault="00860204" w:rsidP="005B6BDB">
            <w:pPr>
              <w:jc w:val="both"/>
              <w:rPr>
                <w:rFonts w:ascii="Comic Sans MS" w:hAnsi="Comic Sans MS"/>
                <w:sz w:val="20"/>
                <w:szCs w:val="20"/>
              </w:rPr>
            </w:pPr>
          </w:p>
        </w:tc>
      </w:tr>
      <w:tr w:rsidR="00860204" w:rsidRPr="00BA5EB0" w14:paraId="1984A41E" w14:textId="77777777" w:rsidTr="004C4972">
        <w:trPr>
          <w:trHeight w:val="1764"/>
        </w:trPr>
        <w:tc>
          <w:tcPr>
            <w:tcW w:w="1255" w:type="dxa"/>
            <w:vMerge/>
            <w:hideMark/>
          </w:tcPr>
          <w:p w14:paraId="245CE155" w14:textId="77777777" w:rsidR="00860204" w:rsidRPr="00BA5EB0" w:rsidRDefault="00860204" w:rsidP="005B6BDB">
            <w:pPr>
              <w:rPr>
                <w:rFonts w:ascii="Comic Sans MS" w:hAnsi="Comic Sans MS"/>
                <w:sz w:val="20"/>
                <w:szCs w:val="20"/>
              </w:rPr>
            </w:pPr>
          </w:p>
        </w:tc>
        <w:tc>
          <w:tcPr>
            <w:tcW w:w="1771" w:type="dxa"/>
            <w:vMerge/>
            <w:vAlign w:val="center"/>
            <w:hideMark/>
          </w:tcPr>
          <w:p w14:paraId="1A3D5226" w14:textId="77777777" w:rsidR="00860204" w:rsidRPr="00BA5EB0" w:rsidRDefault="00860204" w:rsidP="005B6BDB">
            <w:pPr>
              <w:jc w:val="center"/>
              <w:rPr>
                <w:rFonts w:ascii="Comic Sans MS" w:hAnsi="Comic Sans MS"/>
                <w:sz w:val="20"/>
                <w:szCs w:val="20"/>
              </w:rPr>
            </w:pPr>
          </w:p>
        </w:tc>
        <w:tc>
          <w:tcPr>
            <w:tcW w:w="1562" w:type="dxa"/>
            <w:vMerge w:val="restart"/>
            <w:vAlign w:val="center"/>
            <w:hideMark/>
          </w:tcPr>
          <w:p w14:paraId="3D852E3B"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Bas plateau agricole d'Ath</w:t>
            </w:r>
          </w:p>
        </w:tc>
        <w:tc>
          <w:tcPr>
            <w:tcW w:w="1627" w:type="dxa"/>
            <w:vMerge w:val="restart"/>
            <w:vAlign w:val="center"/>
            <w:hideMark/>
          </w:tcPr>
          <w:p w14:paraId="394B70A4"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Grandes cultures  du bas-plateau hennuyer</w:t>
            </w:r>
          </w:p>
        </w:tc>
        <w:tc>
          <w:tcPr>
            <w:tcW w:w="1560" w:type="dxa"/>
            <w:vMerge w:val="restart"/>
            <w:vAlign w:val="center"/>
            <w:hideMark/>
          </w:tcPr>
          <w:p w14:paraId="1E2D09F0"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Bas-plateau limoneux hennuyer</w:t>
            </w:r>
          </w:p>
        </w:tc>
        <w:tc>
          <w:tcPr>
            <w:tcW w:w="1675" w:type="dxa"/>
            <w:vMerge w:val="restart"/>
            <w:vAlign w:val="center"/>
            <w:hideMark/>
          </w:tcPr>
          <w:p w14:paraId="40E3052B"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Campagne ouverte du Bas-plateau limoneux hennuyer, Versant de la Dendre, Campagnes et Carrières, Noyau bâti de Blaton, Forêt de Stambruges-Beloeil, Bois de Péronnes- Maubray</w:t>
            </w:r>
          </w:p>
        </w:tc>
        <w:tc>
          <w:tcPr>
            <w:tcW w:w="4544" w:type="dxa"/>
            <w:vMerge w:val="restart"/>
            <w:hideMark/>
          </w:tcPr>
          <w:p w14:paraId="604A1950" w14:textId="77777777" w:rsidR="00860204" w:rsidRPr="00BA5EB0" w:rsidRDefault="00860204" w:rsidP="005B6BDB">
            <w:pPr>
              <w:jc w:val="both"/>
              <w:rPr>
                <w:rFonts w:ascii="Comic Sans MS" w:hAnsi="Comic Sans MS"/>
                <w:sz w:val="20"/>
                <w:szCs w:val="20"/>
              </w:rPr>
            </w:pPr>
            <w:r w:rsidRPr="00BA5EB0">
              <w:rPr>
                <w:rFonts w:ascii="Comic Sans MS" w:hAnsi="Comic Sans MS"/>
                <w:sz w:val="20"/>
                <w:szCs w:val="20"/>
              </w:rPr>
              <w:t>Les différences de limites  s’expliquent par l’antériorité de la division PNPE par rapport au découpage wallon. Les noms ont été adaptés aux spécificités locales et mis en lien avec les vocations du territoire du PNPE. Liens avec la dynamique transfrontalière.</w:t>
            </w:r>
          </w:p>
          <w:p w14:paraId="15B9F1F9" w14:textId="77777777" w:rsidR="00860204" w:rsidRPr="00BA5EB0" w:rsidRDefault="00860204" w:rsidP="005B6BDB">
            <w:pPr>
              <w:jc w:val="both"/>
              <w:rPr>
                <w:rFonts w:ascii="Comic Sans MS" w:hAnsi="Comic Sans MS"/>
                <w:sz w:val="20"/>
                <w:szCs w:val="20"/>
              </w:rPr>
            </w:pPr>
            <w:r w:rsidRPr="00BA5EB0">
              <w:rPr>
                <w:rFonts w:ascii="Comic Sans MS" w:hAnsi="Comic Sans MS"/>
                <w:sz w:val="20"/>
                <w:szCs w:val="20"/>
              </w:rPr>
              <w:t xml:space="preserve">  </w:t>
            </w:r>
            <w:r w:rsidRPr="00BA5EB0">
              <w:rPr>
                <w:rFonts w:ascii="Comic Sans MS" w:hAnsi="Comic Sans MS"/>
                <w:sz w:val="20"/>
                <w:szCs w:val="20"/>
              </w:rPr>
              <w:br/>
              <w:t>Le faciès de la Campagne ouverte du Bas-plateau limoneux hennuyer a été étendu pour prendre en compte l'extension sur Tournai.  Le village de Maulde  a été transféré des Buttes du tournaisis (CPDT) vers le Bas-plateau limoneux hennuyer et le faciès du versant de la Dendre (critère du bassin versant). Ce dernier comprend deux parties: Beloeil/Aubechies et Maulde. Il n’y a pas eu de création d'une nouvelle entité paysagère sur base de l'aire paysagère de la CPDT- Campagne semi-industrielle de Quevaucamps. Cette aire correspondant grossièrement au faciès Campagnes et Carrières, qui a été maintenu au sein du Bas-plateau limoneux hennuyer (antériorité de la division PNPE par rapport à l'Atlas et pas de logique de "famille d'aires" au sein du territoire de la Charte paysagère).</w:t>
            </w:r>
          </w:p>
        </w:tc>
      </w:tr>
      <w:tr w:rsidR="00860204" w:rsidRPr="00BA5EB0" w14:paraId="05B33EDA" w14:textId="77777777" w:rsidTr="004C4972">
        <w:trPr>
          <w:trHeight w:val="2160"/>
        </w:trPr>
        <w:tc>
          <w:tcPr>
            <w:tcW w:w="1255" w:type="dxa"/>
            <w:vMerge/>
            <w:hideMark/>
          </w:tcPr>
          <w:p w14:paraId="1098D164" w14:textId="77777777" w:rsidR="00860204" w:rsidRPr="00BA5EB0" w:rsidRDefault="00860204" w:rsidP="005B6BDB">
            <w:pPr>
              <w:rPr>
                <w:rFonts w:ascii="Comic Sans MS" w:hAnsi="Comic Sans MS"/>
                <w:sz w:val="20"/>
                <w:szCs w:val="20"/>
              </w:rPr>
            </w:pPr>
          </w:p>
        </w:tc>
        <w:tc>
          <w:tcPr>
            <w:tcW w:w="1771" w:type="dxa"/>
            <w:vMerge/>
            <w:hideMark/>
          </w:tcPr>
          <w:p w14:paraId="51A5AF89" w14:textId="77777777" w:rsidR="00860204" w:rsidRPr="00BA5EB0" w:rsidRDefault="00860204" w:rsidP="005B6BDB">
            <w:pPr>
              <w:rPr>
                <w:rFonts w:ascii="Comic Sans MS" w:hAnsi="Comic Sans MS"/>
                <w:sz w:val="20"/>
                <w:szCs w:val="20"/>
              </w:rPr>
            </w:pPr>
          </w:p>
        </w:tc>
        <w:tc>
          <w:tcPr>
            <w:tcW w:w="1562" w:type="dxa"/>
            <w:vMerge/>
            <w:vAlign w:val="center"/>
            <w:hideMark/>
          </w:tcPr>
          <w:p w14:paraId="5C4BFC2D" w14:textId="77777777" w:rsidR="00860204" w:rsidRPr="00BA5EB0" w:rsidRDefault="00860204" w:rsidP="005B6BDB">
            <w:pPr>
              <w:jc w:val="center"/>
              <w:rPr>
                <w:rFonts w:ascii="Comic Sans MS" w:hAnsi="Comic Sans MS"/>
                <w:sz w:val="20"/>
                <w:szCs w:val="20"/>
              </w:rPr>
            </w:pPr>
          </w:p>
        </w:tc>
        <w:tc>
          <w:tcPr>
            <w:tcW w:w="1627" w:type="dxa"/>
            <w:vMerge/>
            <w:vAlign w:val="center"/>
            <w:hideMark/>
          </w:tcPr>
          <w:p w14:paraId="6A162948" w14:textId="77777777" w:rsidR="00860204" w:rsidRPr="00BA5EB0" w:rsidRDefault="00860204" w:rsidP="005B6BDB">
            <w:pPr>
              <w:jc w:val="center"/>
              <w:rPr>
                <w:rFonts w:ascii="Comic Sans MS" w:hAnsi="Comic Sans MS"/>
                <w:sz w:val="20"/>
                <w:szCs w:val="20"/>
              </w:rPr>
            </w:pPr>
          </w:p>
        </w:tc>
        <w:tc>
          <w:tcPr>
            <w:tcW w:w="1560" w:type="dxa"/>
            <w:vMerge/>
            <w:vAlign w:val="center"/>
            <w:hideMark/>
          </w:tcPr>
          <w:p w14:paraId="6F3A8E50" w14:textId="77777777" w:rsidR="00860204" w:rsidRPr="00BA5EB0" w:rsidRDefault="00860204" w:rsidP="005B6BDB">
            <w:pPr>
              <w:jc w:val="center"/>
              <w:rPr>
                <w:rFonts w:ascii="Comic Sans MS" w:hAnsi="Comic Sans MS"/>
                <w:sz w:val="20"/>
                <w:szCs w:val="20"/>
              </w:rPr>
            </w:pPr>
          </w:p>
        </w:tc>
        <w:tc>
          <w:tcPr>
            <w:tcW w:w="1675" w:type="dxa"/>
            <w:vMerge/>
            <w:vAlign w:val="center"/>
            <w:hideMark/>
          </w:tcPr>
          <w:p w14:paraId="34728721" w14:textId="77777777" w:rsidR="00860204" w:rsidRPr="00BA5EB0" w:rsidRDefault="00860204" w:rsidP="005B6BDB">
            <w:pPr>
              <w:jc w:val="center"/>
              <w:rPr>
                <w:rFonts w:ascii="Comic Sans MS" w:hAnsi="Comic Sans MS"/>
                <w:sz w:val="20"/>
                <w:szCs w:val="20"/>
              </w:rPr>
            </w:pPr>
          </w:p>
        </w:tc>
        <w:tc>
          <w:tcPr>
            <w:tcW w:w="4544" w:type="dxa"/>
            <w:vMerge/>
            <w:hideMark/>
          </w:tcPr>
          <w:p w14:paraId="28B6BE67" w14:textId="77777777" w:rsidR="00860204" w:rsidRPr="00BA5EB0" w:rsidRDefault="00860204" w:rsidP="005B6BDB">
            <w:pPr>
              <w:rPr>
                <w:rFonts w:ascii="Comic Sans MS" w:hAnsi="Comic Sans MS"/>
                <w:sz w:val="20"/>
                <w:szCs w:val="20"/>
              </w:rPr>
            </w:pPr>
          </w:p>
        </w:tc>
      </w:tr>
      <w:tr w:rsidR="00860204" w:rsidRPr="00BA5EB0" w14:paraId="716F2118" w14:textId="77777777" w:rsidTr="004C4972">
        <w:trPr>
          <w:trHeight w:val="888"/>
        </w:trPr>
        <w:tc>
          <w:tcPr>
            <w:tcW w:w="1255" w:type="dxa"/>
            <w:vMerge/>
            <w:hideMark/>
          </w:tcPr>
          <w:p w14:paraId="487EE4F8" w14:textId="77777777" w:rsidR="00860204" w:rsidRPr="00BA5EB0" w:rsidRDefault="00860204" w:rsidP="005B6BDB">
            <w:pPr>
              <w:rPr>
                <w:rFonts w:ascii="Comic Sans MS" w:hAnsi="Comic Sans MS"/>
                <w:sz w:val="20"/>
                <w:szCs w:val="20"/>
              </w:rPr>
            </w:pPr>
          </w:p>
        </w:tc>
        <w:tc>
          <w:tcPr>
            <w:tcW w:w="1771" w:type="dxa"/>
            <w:vMerge/>
            <w:hideMark/>
          </w:tcPr>
          <w:p w14:paraId="4722EBA4" w14:textId="77777777" w:rsidR="00860204" w:rsidRPr="00BA5EB0" w:rsidRDefault="00860204" w:rsidP="005B6BDB">
            <w:pPr>
              <w:rPr>
                <w:rFonts w:ascii="Comic Sans MS" w:hAnsi="Comic Sans MS"/>
                <w:sz w:val="20"/>
                <w:szCs w:val="20"/>
              </w:rPr>
            </w:pPr>
          </w:p>
        </w:tc>
        <w:tc>
          <w:tcPr>
            <w:tcW w:w="1562" w:type="dxa"/>
            <w:vAlign w:val="center"/>
            <w:hideMark/>
          </w:tcPr>
          <w:p w14:paraId="21B6BB7C"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Campagne semi-industrielle de Quevaucamps</w:t>
            </w:r>
          </w:p>
        </w:tc>
        <w:tc>
          <w:tcPr>
            <w:tcW w:w="1627" w:type="dxa"/>
            <w:vMerge/>
            <w:vAlign w:val="center"/>
            <w:hideMark/>
          </w:tcPr>
          <w:p w14:paraId="7A4353C4" w14:textId="77777777" w:rsidR="00860204" w:rsidRPr="00BA5EB0" w:rsidRDefault="00860204" w:rsidP="005B6BDB">
            <w:pPr>
              <w:jc w:val="center"/>
              <w:rPr>
                <w:rFonts w:ascii="Comic Sans MS" w:hAnsi="Comic Sans MS"/>
                <w:sz w:val="20"/>
                <w:szCs w:val="20"/>
              </w:rPr>
            </w:pPr>
          </w:p>
        </w:tc>
        <w:tc>
          <w:tcPr>
            <w:tcW w:w="1560" w:type="dxa"/>
            <w:vMerge/>
            <w:vAlign w:val="center"/>
            <w:hideMark/>
          </w:tcPr>
          <w:p w14:paraId="03F1909A" w14:textId="77777777" w:rsidR="00860204" w:rsidRPr="00BA5EB0" w:rsidRDefault="00860204" w:rsidP="005B6BDB">
            <w:pPr>
              <w:jc w:val="center"/>
              <w:rPr>
                <w:rFonts w:ascii="Comic Sans MS" w:hAnsi="Comic Sans MS"/>
                <w:sz w:val="20"/>
                <w:szCs w:val="20"/>
              </w:rPr>
            </w:pPr>
          </w:p>
        </w:tc>
        <w:tc>
          <w:tcPr>
            <w:tcW w:w="1675" w:type="dxa"/>
            <w:vMerge/>
            <w:vAlign w:val="center"/>
            <w:hideMark/>
          </w:tcPr>
          <w:p w14:paraId="654503F0" w14:textId="77777777" w:rsidR="00860204" w:rsidRPr="00BA5EB0" w:rsidRDefault="00860204" w:rsidP="005B6BDB">
            <w:pPr>
              <w:jc w:val="center"/>
              <w:rPr>
                <w:rFonts w:ascii="Comic Sans MS" w:hAnsi="Comic Sans MS"/>
                <w:sz w:val="20"/>
                <w:szCs w:val="20"/>
              </w:rPr>
            </w:pPr>
          </w:p>
        </w:tc>
        <w:tc>
          <w:tcPr>
            <w:tcW w:w="4544" w:type="dxa"/>
            <w:vMerge/>
            <w:hideMark/>
          </w:tcPr>
          <w:p w14:paraId="23B4FD88" w14:textId="77777777" w:rsidR="00860204" w:rsidRPr="00BA5EB0" w:rsidRDefault="00860204" w:rsidP="005B6BDB">
            <w:pPr>
              <w:rPr>
                <w:rFonts w:ascii="Comic Sans MS" w:hAnsi="Comic Sans MS"/>
                <w:sz w:val="20"/>
                <w:szCs w:val="20"/>
              </w:rPr>
            </w:pPr>
          </w:p>
        </w:tc>
      </w:tr>
      <w:tr w:rsidR="00860204" w:rsidRPr="00BA5EB0" w14:paraId="472F0489" w14:textId="77777777" w:rsidTr="004C4972">
        <w:trPr>
          <w:trHeight w:val="1264"/>
        </w:trPr>
        <w:tc>
          <w:tcPr>
            <w:tcW w:w="1255" w:type="dxa"/>
            <w:vMerge/>
            <w:hideMark/>
          </w:tcPr>
          <w:p w14:paraId="4F559BFD" w14:textId="77777777" w:rsidR="00860204" w:rsidRPr="00BA5EB0" w:rsidRDefault="00860204" w:rsidP="005B6BDB">
            <w:pPr>
              <w:rPr>
                <w:rFonts w:ascii="Comic Sans MS" w:hAnsi="Comic Sans MS"/>
                <w:sz w:val="20"/>
                <w:szCs w:val="20"/>
              </w:rPr>
            </w:pPr>
          </w:p>
        </w:tc>
        <w:tc>
          <w:tcPr>
            <w:tcW w:w="1771" w:type="dxa"/>
            <w:vMerge w:val="restart"/>
            <w:vAlign w:val="center"/>
            <w:hideMark/>
          </w:tcPr>
          <w:p w14:paraId="224E25EF"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Vallée urbanisée de l'Escaut tournaisien et carrières (01040)</w:t>
            </w:r>
          </w:p>
        </w:tc>
        <w:tc>
          <w:tcPr>
            <w:tcW w:w="1562" w:type="dxa"/>
            <w:vAlign w:val="center"/>
            <w:hideMark/>
          </w:tcPr>
          <w:p w14:paraId="2B120051"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Centre et agglomération périurbaine de Tournai</w:t>
            </w:r>
          </w:p>
        </w:tc>
        <w:tc>
          <w:tcPr>
            <w:tcW w:w="1627" w:type="dxa"/>
            <w:vAlign w:val="center"/>
            <w:hideMark/>
          </w:tcPr>
          <w:p w14:paraId="6CA2E9A2" w14:textId="77777777" w:rsidR="00860204" w:rsidRPr="00BA5EB0" w:rsidRDefault="00860204" w:rsidP="005B6BDB">
            <w:pPr>
              <w:jc w:val="center"/>
              <w:rPr>
                <w:rFonts w:ascii="Comic Sans MS" w:hAnsi="Comic Sans MS"/>
                <w:sz w:val="20"/>
                <w:szCs w:val="20"/>
              </w:rPr>
            </w:pPr>
          </w:p>
        </w:tc>
        <w:tc>
          <w:tcPr>
            <w:tcW w:w="1560" w:type="dxa"/>
            <w:vAlign w:val="center"/>
            <w:hideMark/>
          </w:tcPr>
          <w:p w14:paraId="40E9CD42"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Urbanisation de Tournai</w:t>
            </w:r>
          </w:p>
        </w:tc>
        <w:tc>
          <w:tcPr>
            <w:tcW w:w="1675" w:type="dxa"/>
            <w:vAlign w:val="center"/>
            <w:hideMark/>
          </w:tcPr>
          <w:p w14:paraId="64743BE9"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Urbanisation de Tournai</w:t>
            </w:r>
          </w:p>
        </w:tc>
        <w:tc>
          <w:tcPr>
            <w:tcW w:w="4544" w:type="dxa"/>
            <w:hideMark/>
          </w:tcPr>
          <w:p w14:paraId="5A2B38CD" w14:textId="77777777" w:rsidR="00860204" w:rsidRPr="00BA5EB0" w:rsidRDefault="00860204" w:rsidP="005B6BDB">
            <w:pPr>
              <w:jc w:val="both"/>
              <w:rPr>
                <w:rFonts w:ascii="Comic Sans MS" w:hAnsi="Comic Sans MS"/>
                <w:sz w:val="20"/>
                <w:szCs w:val="20"/>
              </w:rPr>
            </w:pPr>
            <w:r w:rsidRPr="00BA5EB0">
              <w:rPr>
                <w:rFonts w:ascii="Comic Sans MS" w:hAnsi="Comic Sans MS"/>
                <w:sz w:val="20"/>
                <w:szCs w:val="20"/>
              </w:rPr>
              <w:t>Les limites sont  globalement reprises de l'Atlas à l'exception de l'entité de la Vallée de l'Escaut qui traverse l'urbanisation de Tournai, entité spécifique au PNPE. Cette entité est partiellement en dehors de l’extension proposée du territoire du PNPE. Le nom a été simplifié.</w:t>
            </w:r>
          </w:p>
        </w:tc>
      </w:tr>
      <w:tr w:rsidR="00860204" w:rsidRPr="00BA5EB0" w14:paraId="79FC3F21" w14:textId="77777777" w:rsidTr="004C4972">
        <w:trPr>
          <w:trHeight w:val="1409"/>
        </w:trPr>
        <w:tc>
          <w:tcPr>
            <w:tcW w:w="1255" w:type="dxa"/>
            <w:vMerge/>
            <w:hideMark/>
          </w:tcPr>
          <w:p w14:paraId="71CDE378" w14:textId="77777777" w:rsidR="00860204" w:rsidRPr="00BA5EB0" w:rsidRDefault="00860204" w:rsidP="005B6BDB">
            <w:pPr>
              <w:rPr>
                <w:rFonts w:ascii="Comic Sans MS" w:hAnsi="Comic Sans MS"/>
                <w:sz w:val="20"/>
                <w:szCs w:val="20"/>
              </w:rPr>
            </w:pPr>
          </w:p>
        </w:tc>
        <w:tc>
          <w:tcPr>
            <w:tcW w:w="1771" w:type="dxa"/>
            <w:vMerge/>
            <w:hideMark/>
          </w:tcPr>
          <w:p w14:paraId="029C5B6C" w14:textId="77777777" w:rsidR="00860204" w:rsidRPr="00BA5EB0" w:rsidRDefault="00860204" w:rsidP="005B6BDB">
            <w:pPr>
              <w:jc w:val="center"/>
              <w:rPr>
                <w:rFonts w:ascii="Comic Sans MS" w:hAnsi="Comic Sans MS"/>
                <w:sz w:val="20"/>
                <w:szCs w:val="20"/>
              </w:rPr>
            </w:pPr>
          </w:p>
        </w:tc>
        <w:tc>
          <w:tcPr>
            <w:tcW w:w="1562" w:type="dxa"/>
            <w:vMerge w:val="restart"/>
            <w:vAlign w:val="center"/>
            <w:hideMark/>
          </w:tcPr>
          <w:p w14:paraId="436BF635"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Vallée et bas-plateau extractifs scaldiens</w:t>
            </w:r>
          </w:p>
        </w:tc>
        <w:tc>
          <w:tcPr>
            <w:tcW w:w="1627" w:type="dxa"/>
            <w:vMerge w:val="restart"/>
            <w:vAlign w:val="center"/>
            <w:hideMark/>
          </w:tcPr>
          <w:p w14:paraId="1FD11D09" w14:textId="77777777" w:rsidR="00860204" w:rsidRPr="00BA5EB0" w:rsidRDefault="00860204" w:rsidP="005B6BDB">
            <w:pPr>
              <w:jc w:val="center"/>
              <w:rPr>
                <w:rFonts w:ascii="Comic Sans MS" w:hAnsi="Comic Sans MS"/>
                <w:sz w:val="20"/>
                <w:szCs w:val="20"/>
              </w:rPr>
            </w:pPr>
          </w:p>
        </w:tc>
        <w:tc>
          <w:tcPr>
            <w:tcW w:w="1560" w:type="dxa"/>
            <w:vMerge w:val="restart"/>
            <w:vAlign w:val="center"/>
            <w:hideMark/>
          </w:tcPr>
          <w:p w14:paraId="34539B37"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 xml:space="preserve"> Bas-plateau des carrières</w:t>
            </w:r>
          </w:p>
        </w:tc>
        <w:tc>
          <w:tcPr>
            <w:tcW w:w="1675" w:type="dxa"/>
            <w:vMerge w:val="restart"/>
            <w:vAlign w:val="center"/>
            <w:hideMark/>
          </w:tcPr>
          <w:p w14:paraId="0676689F"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Bas-plateau des carrières</w:t>
            </w:r>
          </w:p>
        </w:tc>
        <w:tc>
          <w:tcPr>
            <w:tcW w:w="4544" w:type="dxa"/>
            <w:vMerge w:val="restart"/>
            <w:hideMark/>
          </w:tcPr>
          <w:p w14:paraId="079854DC" w14:textId="33169702" w:rsidR="00860204" w:rsidRPr="00BA5EB0" w:rsidRDefault="00860204" w:rsidP="005B6BDB">
            <w:pPr>
              <w:jc w:val="both"/>
              <w:rPr>
                <w:rFonts w:ascii="Comic Sans MS" w:hAnsi="Comic Sans MS"/>
                <w:sz w:val="20"/>
                <w:szCs w:val="20"/>
              </w:rPr>
            </w:pPr>
            <w:r w:rsidRPr="00BA5EB0">
              <w:rPr>
                <w:rFonts w:ascii="Comic Sans MS" w:hAnsi="Comic Sans MS"/>
                <w:sz w:val="20"/>
                <w:szCs w:val="20"/>
              </w:rPr>
              <w:t xml:space="preserve">Les limites sont globalement reprises de l'Atlas à l'exception de l'entité de la Vallée de l'Escaut qui traverse le Bas-plateau des carrières et de la limite ouest avec les buttes du tournaisis (CPDT). Ce faciès intègre les terrains </w:t>
            </w:r>
            <w:r w:rsidR="005B6BDB">
              <w:rPr>
                <w:rFonts w:ascii="Comic Sans MS" w:hAnsi="Comic Sans MS"/>
                <w:sz w:val="20"/>
                <w:szCs w:val="20"/>
              </w:rPr>
              <w:t xml:space="preserve">carriers ou </w:t>
            </w:r>
            <w:r w:rsidRPr="005B6BDB">
              <w:rPr>
                <w:rFonts w:ascii="Comic Sans MS" w:hAnsi="Comic Sans MS"/>
                <w:sz w:val="20"/>
                <w:szCs w:val="20"/>
              </w:rPr>
              <w:t>extractifs</w:t>
            </w:r>
            <w:r w:rsidRPr="00BA5EB0">
              <w:rPr>
                <w:rFonts w:ascii="Comic Sans MS" w:hAnsi="Comic Sans MS"/>
                <w:sz w:val="20"/>
                <w:szCs w:val="20"/>
              </w:rPr>
              <w:t xml:space="preserve"> qui n'avaient pas été repris à l'origine au sein du territoire du PNPE (dont Calonne) et est très partiellement en dehors de l’extension proposée du territoire du PNPE. Le nom a été simplifié et mis en lien avec le Bas-plateau limoneux hennuyer.</w:t>
            </w:r>
          </w:p>
        </w:tc>
      </w:tr>
      <w:tr w:rsidR="00860204" w:rsidRPr="00BA5EB0" w14:paraId="3E5004FD" w14:textId="77777777" w:rsidTr="004C4972">
        <w:trPr>
          <w:trHeight w:val="1524"/>
        </w:trPr>
        <w:tc>
          <w:tcPr>
            <w:tcW w:w="1255" w:type="dxa"/>
            <w:vMerge/>
            <w:hideMark/>
          </w:tcPr>
          <w:p w14:paraId="5D0ED291" w14:textId="77777777" w:rsidR="00860204" w:rsidRPr="00BA5EB0" w:rsidRDefault="00860204" w:rsidP="005B6BDB">
            <w:pPr>
              <w:rPr>
                <w:rFonts w:ascii="Comic Sans MS" w:hAnsi="Comic Sans MS"/>
                <w:sz w:val="20"/>
                <w:szCs w:val="20"/>
              </w:rPr>
            </w:pPr>
          </w:p>
        </w:tc>
        <w:tc>
          <w:tcPr>
            <w:tcW w:w="1771" w:type="dxa"/>
            <w:vMerge/>
            <w:hideMark/>
          </w:tcPr>
          <w:p w14:paraId="1CB0EF00" w14:textId="77777777" w:rsidR="00860204" w:rsidRPr="00BA5EB0" w:rsidRDefault="00860204" w:rsidP="005B6BDB">
            <w:pPr>
              <w:rPr>
                <w:rFonts w:ascii="Comic Sans MS" w:hAnsi="Comic Sans MS"/>
                <w:sz w:val="20"/>
                <w:szCs w:val="20"/>
              </w:rPr>
            </w:pPr>
          </w:p>
        </w:tc>
        <w:tc>
          <w:tcPr>
            <w:tcW w:w="1562" w:type="dxa"/>
            <w:vMerge/>
            <w:hideMark/>
          </w:tcPr>
          <w:p w14:paraId="4ACDA32C" w14:textId="77777777" w:rsidR="00860204" w:rsidRPr="00BA5EB0" w:rsidRDefault="00860204" w:rsidP="005B6BDB">
            <w:pPr>
              <w:rPr>
                <w:rFonts w:ascii="Comic Sans MS" w:hAnsi="Comic Sans MS"/>
                <w:sz w:val="20"/>
                <w:szCs w:val="20"/>
              </w:rPr>
            </w:pPr>
          </w:p>
        </w:tc>
        <w:tc>
          <w:tcPr>
            <w:tcW w:w="1627" w:type="dxa"/>
            <w:vMerge/>
            <w:hideMark/>
          </w:tcPr>
          <w:p w14:paraId="4DF9B676" w14:textId="77777777" w:rsidR="00860204" w:rsidRPr="00BA5EB0" w:rsidRDefault="00860204" w:rsidP="005B6BDB">
            <w:pPr>
              <w:rPr>
                <w:rFonts w:ascii="Comic Sans MS" w:hAnsi="Comic Sans MS"/>
                <w:sz w:val="20"/>
                <w:szCs w:val="20"/>
              </w:rPr>
            </w:pPr>
          </w:p>
        </w:tc>
        <w:tc>
          <w:tcPr>
            <w:tcW w:w="1560" w:type="dxa"/>
            <w:vMerge/>
            <w:hideMark/>
          </w:tcPr>
          <w:p w14:paraId="7FD9A0C9" w14:textId="77777777" w:rsidR="00860204" w:rsidRPr="00BA5EB0" w:rsidRDefault="00860204" w:rsidP="005B6BDB">
            <w:pPr>
              <w:rPr>
                <w:rFonts w:ascii="Comic Sans MS" w:hAnsi="Comic Sans MS"/>
                <w:sz w:val="20"/>
                <w:szCs w:val="20"/>
              </w:rPr>
            </w:pPr>
          </w:p>
        </w:tc>
        <w:tc>
          <w:tcPr>
            <w:tcW w:w="1675" w:type="dxa"/>
            <w:vMerge/>
            <w:hideMark/>
          </w:tcPr>
          <w:p w14:paraId="5AFA29A4" w14:textId="77777777" w:rsidR="00860204" w:rsidRPr="00BA5EB0" w:rsidRDefault="00860204" w:rsidP="005B6BDB">
            <w:pPr>
              <w:rPr>
                <w:rFonts w:ascii="Comic Sans MS" w:hAnsi="Comic Sans MS"/>
                <w:sz w:val="20"/>
                <w:szCs w:val="20"/>
              </w:rPr>
            </w:pPr>
          </w:p>
        </w:tc>
        <w:tc>
          <w:tcPr>
            <w:tcW w:w="4544" w:type="dxa"/>
            <w:vMerge/>
            <w:hideMark/>
          </w:tcPr>
          <w:p w14:paraId="4A1C64B3" w14:textId="77777777" w:rsidR="00860204" w:rsidRPr="00BA5EB0" w:rsidRDefault="00860204" w:rsidP="005B6BDB">
            <w:pPr>
              <w:jc w:val="both"/>
              <w:rPr>
                <w:rFonts w:ascii="Comic Sans MS" w:hAnsi="Comic Sans MS"/>
                <w:sz w:val="20"/>
                <w:szCs w:val="20"/>
              </w:rPr>
            </w:pPr>
          </w:p>
        </w:tc>
      </w:tr>
      <w:tr w:rsidR="00860204" w:rsidRPr="00BA5EB0" w14:paraId="50C16DB7" w14:textId="77777777" w:rsidTr="004C4972">
        <w:trPr>
          <w:trHeight w:val="3108"/>
        </w:trPr>
        <w:tc>
          <w:tcPr>
            <w:tcW w:w="1255" w:type="dxa"/>
            <w:vMerge/>
            <w:hideMark/>
          </w:tcPr>
          <w:p w14:paraId="1EDC2F36" w14:textId="77777777" w:rsidR="00860204" w:rsidRPr="00BA5EB0" w:rsidRDefault="00860204" w:rsidP="005B6BDB">
            <w:pPr>
              <w:rPr>
                <w:rFonts w:ascii="Comic Sans MS" w:hAnsi="Comic Sans MS"/>
                <w:sz w:val="20"/>
                <w:szCs w:val="20"/>
              </w:rPr>
            </w:pPr>
          </w:p>
        </w:tc>
        <w:tc>
          <w:tcPr>
            <w:tcW w:w="1771" w:type="dxa"/>
            <w:vAlign w:val="center"/>
            <w:hideMark/>
          </w:tcPr>
          <w:p w14:paraId="000BE12B"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Plaine scaldienne du Tournaisis / faciès du nord-ouest Tournaisis (01032)</w:t>
            </w:r>
          </w:p>
        </w:tc>
        <w:tc>
          <w:tcPr>
            <w:tcW w:w="1562" w:type="dxa"/>
            <w:vAlign w:val="center"/>
            <w:hideMark/>
          </w:tcPr>
          <w:p w14:paraId="62C9EB16"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Plaine tournaisienne</w:t>
            </w:r>
          </w:p>
        </w:tc>
        <w:tc>
          <w:tcPr>
            <w:tcW w:w="1627" w:type="dxa"/>
            <w:vAlign w:val="center"/>
            <w:hideMark/>
          </w:tcPr>
          <w:p w14:paraId="774C9B3C" w14:textId="77777777" w:rsidR="00860204" w:rsidRPr="00BA5EB0" w:rsidRDefault="00860204" w:rsidP="005B6BDB">
            <w:pPr>
              <w:jc w:val="center"/>
              <w:rPr>
                <w:rFonts w:ascii="Comic Sans MS" w:hAnsi="Comic Sans MS"/>
                <w:sz w:val="20"/>
                <w:szCs w:val="20"/>
              </w:rPr>
            </w:pPr>
          </w:p>
        </w:tc>
        <w:tc>
          <w:tcPr>
            <w:tcW w:w="1560" w:type="dxa"/>
            <w:vAlign w:val="center"/>
            <w:hideMark/>
          </w:tcPr>
          <w:p w14:paraId="50EC3805"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Plaine tournaisienne</w:t>
            </w:r>
          </w:p>
        </w:tc>
        <w:tc>
          <w:tcPr>
            <w:tcW w:w="1675" w:type="dxa"/>
            <w:vAlign w:val="center"/>
            <w:hideMark/>
          </w:tcPr>
          <w:p w14:paraId="112DEEF6"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Campagne de Templeuve (au nord) et Rieu de Templeuve (au sud)</w:t>
            </w:r>
          </w:p>
        </w:tc>
        <w:tc>
          <w:tcPr>
            <w:tcW w:w="4544" w:type="dxa"/>
            <w:vAlign w:val="center"/>
            <w:hideMark/>
          </w:tcPr>
          <w:p w14:paraId="2A35105C" w14:textId="77777777" w:rsidR="00860204" w:rsidRPr="00BA5EB0" w:rsidRDefault="00860204" w:rsidP="005B6BDB">
            <w:pPr>
              <w:jc w:val="both"/>
              <w:rPr>
                <w:rFonts w:ascii="Comic Sans MS" w:hAnsi="Comic Sans MS"/>
                <w:sz w:val="20"/>
                <w:szCs w:val="20"/>
              </w:rPr>
            </w:pPr>
            <w:r w:rsidRPr="00BA5EB0">
              <w:rPr>
                <w:rFonts w:ascii="Comic Sans MS" w:hAnsi="Comic Sans MS"/>
                <w:sz w:val="20"/>
                <w:szCs w:val="20"/>
              </w:rPr>
              <w:t>Les faciès ont été déterminés sur base du travail CPDT 2005 et validé sur le terrain (PNPE). Les principaux critères utilisés pour fixer les limites sont les bassins versants, les lignes de crête, les LVR, les enjeux et recommandations (travail sur les franges urbaines), les infrastructures (chemin de fer/autoroute). La Campagne de Templeuve se poursuit au-delà des limites de l'extension du Parc. Le nom choisi est lié au seul village présent au sein du faciès sur le territoire du Parc. Le Rieu de Templeuve comprend le bassin versant du Rieu de Templeuve qui lui donne son nom.</w:t>
            </w:r>
          </w:p>
        </w:tc>
      </w:tr>
      <w:tr w:rsidR="00860204" w:rsidRPr="00BA5EB0" w14:paraId="22A70B43" w14:textId="77777777" w:rsidTr="004C4972">
        <w:trPr>
          <w:trHeight w:val="2938"/>
        </w:trPr>
        <w:tc>
          <w:tcPr>
            <w:tcW w:w="1255" w:type="dxa"/>
            <w:vMerge/>
            <w:hideMark/>
          </w:tcPr>
          <w:p w14:paraId="279AEC95" w14:textId="77777777" w:rsidR="00860204" w:rsidRPr="00BA5EB0" w:rsidRDefault="00860204" w:rsidP="005B6BDB">
            <w:pPr>
              <w:rPr>
                <w:rFonts w:ascii="Comic Sans MS" w:hAnsi="Comic Sans MS"/>
                <w:sz w:val="20"/>
                <w:szCs w:val="20"/>
              </w:rPr>
            </w:pPr>
          </w:p>
        </w:tc>
        <w:tc>
          <w:tcPr>
            <w:tcW w:w="1771" w:type="dxa"/>
            <w:vAlign w:val="center"/>
            <w:hideMark/>
          </w:tcPr>
          <w:p w14:paraId="7D72E791"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Plaines de Celles et d'Anvaing (01050)</w:t>
            </w:r>
          </w:p>
        </w:tc>
        <w:tc>
          <w:tcPr>
            <w:tcW w:w="1562" w:type="dxa"/>
            <w:vAlign w:val="center"/>
            <w:hideMark/>
          </w:tcPr>
          <w:p w14:paraId="3C2AA4E8"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Campagne agricole de Celles, Campagne agricole d'Anvaing, (Plaine septentrionale de l'Escaut), (Plaine de la Rhosnes)</w:t>
            </w:r>
          </w:p>
        </w:tc>
        <w:tc>
          <w:tcPr>
            <w:tcW w:w="1627" w:type="dxa"/>
            <w:vAlign w:val="center"/>
            <w:hideMark/>
          </w:tcPr>
          <w:p w14:paraId="4B051C3E" w14:textId="77777777" w:rsidR="00860204" w:rsidRPr="00BA5EB0" w:rsidRDefault="00860204" w:rsidP="005B6BDB">
            <w:pPr>
              <w:jc w:val="center"/>
              <w:rPr>
                <w:rFonts w:ascii="Comic Sans MS" w:hAnsi="Comic Sans MS"/>
                <w:sz w:val="20"/>
                <w:szCs w:val="20"/>
              </w:rPr>
            </w:pPr>
          </w:p>
        </w:tc>
        <w:tc>
          <w:tcPr>
            <w:tcW w:w="1560" w:type="dxa"/>
            <w:vAlign w:val="center"/>
            <w:hideMark/>
          </w:tcPr>
          <w:p w14:paraId="1E1946B3"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 xml:space="preserve"> Plaines de Celles et d'Anvaing</w:t>
            </w:r>
          </w:p>
        </w:tc>
        <w:tc>
          <w:tcPr>
            <w:tcW w:w="1675" w:type="dxa"/>
            <w:vAlign w:val="center"/>
            <w:hideMark/>
          </w:tcPr>
          <w:p w14:paraId="4ABA0224"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La plaine de Celles, la Melle et la Petite Rhosnes</w:t>
            </w:r>
          </w:p>
        </w:tc>
        <w:tc>
          <w:tcPr>
            <w:tcW w:w="4544" w:type="dxa"/>
            <w:vAlign w:val="center"/>
            <w:hideMark/>
          </w:tcPr>
          <w:p w14:paraId="5CF0F2FF" w14:textId="77777777" w:rsidR="00860204" w:rsidRPr="00BA5EB0" w:rsidRDefault="00860204" w:rsidP="005B6BDB">
            <w:pPr>
              <w:jc w:val="both"/>
              <w:rPr>
                <w:rFonts w:ascii="Comic Sans MS" w:hAnsi="Comic Sans MS"/>
                <w:sz w:val="20"/>
                <w:szCs w:val="20"/>
              </w:rPr>
            </w:pPr>
            <w:r w:rsidRPr="00BA5EB0">
              <w:rPr>
                <w:rFonts w:ascii="Comic Sans MS" w:hAnsi="Comic Sans MS"/>
                <w:sz w:val="20"/>
                <w:szCs w:val="20"/>
              </w:rPr>
              <w:t>Cette entité paysagère se poursuit bien au-delà du territoire du Parc naturel. La limite correspond à celle du territoire paysager. Le nom du territoire paysager a été gardé pour l'entité paysagère car, d’une part, il n’y a pas de spécificité locale suffisamment importante pouvant justifier une modification du nom et d’autre part, pour bien marquer le fait que le territoire paysager se poursuit au-delà du Parc naturel. Deux faciès paysagers ont été définis : la plaine de Celles à l'ouest (pas de spécificité locale et lien avec la poursuite du faciès au-delà du Parc naturel) et La Melle et la Petite Rhosnes à l’est (spécificités géographique et locale).</w:t>
            </w:r>
          </w:p>
        </w:tc>
      </w:tr>
      <w:tr w:rsidR="00860204" w:rsidRPr="00BA5EB0" w14:paraId="6284BCE4" w14:textId="77777777" w:rsidTr="004C4972">
        <w:trPr>
          <w:trHeight w:val="558"/>
        </w:trPr>
        <w:tc>
          <w:tcPr>
            <w:tcW w:w="1255" w:type="dxa"/>
            <w:vMerge/>
            <w:hideMark/>
          </w:tcPr>
          <w:p w14:paraId="7D67CF05" w14:textId="77777777" w:rsidR="00860204" w:rsidRPr="00BA5EB0" w:rsidRDefault="00860204" w:rsidP="005B6BDB">
            <w:pPr>
              <w:rPr>
                <w:rFonts w:ascii="Comic Sans MS" w:hAnsi="Comic Sans MS"/>
                <w:sz w:val="20"/>
                <w:szCs w:val="20"/>
              </w:rPr>
            </w:pPr>
          </w:p>
        </w:tc>
        <w:tc>
          <w:tcPr>
            <w:tcW w:w="1771" w:type="dxa"/>
            <w:vAlign w:val="center"/>
            <w:hideMark/>
          </w:tcPr>
          <w:p w14:paraId="127DF02D"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Buttes du Tournaisis (01060)</w:t>
            </w:r>
          </w:p>
        </w:tc>
        <w:tc>
          <w:tcPr>
            <w:tcW w:w="1562" w:type="dxa"/>
            <w:vAlign w:val="center"/>
            <w:hideMark/>
          </w:tcPr>
          <w:p w14:paraId="04739D7B"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Collines tournaisiennes</w:t>
            </w:r>
          </w:p>
        </w:tc>
        <w:tc>
          <w:tcPr>
            <w:tcW w:w="1627" w:type="dxa"/>
            <w:vAlign w:val="center"/>
            <w:hideMark/>
          </w:tcPr>
          <w:p w14:paraId="626D34D3" w14:textId="77777777" w:rsidR="00860204" w:rsidRPr="00BA5EB0" w:rsidRDefault="00860204" w:rsidP="005B6BDB">
            <w:pPr>
              <w:jc w:val="center"/>
              <w:rPr>
                <w:rFonts w:ascii="Comic Sans MS" w:hAnsi="Comic Sans MS"/>
                <w:sz w:val="20"/>
                <w:szCs w:val="20"/>
              </w:rPr>
            </w:pPr>
          </w:p>
        </w:tc>
        <w:tc>
          <w:tcPr>
            <w:tcW w:w="1560" w:type="dxa"/>
            <w:vAlign w:val="center"/>
            <w:hideMark/>
          </w:tcPr>
          <w:p w14:paraId="129064E3"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Buttes tournaisiennes</w:t>
            </w:r>
          </w:p>
        </w:tc>
        <w:tc>
          <w:tcPr>
            <w:tcW w:w="1675" w:type="dxa"/>
            <w:vAlign w:val="center"/>
            <w:hideMark/>
          </w:tcPr>
          <w:p w14:paraId="487B10F6" w14:textId="77777777" w:rsidR="00860204" w:rsidRPr="00BA5EB0" w:rsidRDefault="00860204" w:rsidP="005B6BDB">
            <w:pPr>
              <w:jc w:val="center"/>
              <w:rPr>
                <w:rFonts w:ascii="Comic Sans MS" w:hAnsi="Comic Sans MS"/>
                <w:sz w:val="20"/>
                <w:szCs w:val="20"/>
              </w:rPr>
            </w:pPr>
            <w:r w:rsidRPr="00BA5EB0">
              <w:rPr>
                <w:rFonts w:ascii="Comic Sans MS" w:hAnsi="Comic Sans MS"/>
                <w:sz w:val="20"/>
                <w:szCs w:val="20"/>
              </w:rPr>
              <w:t>Buttes (Le Mont-Saint-Aubert et Thimougies), Vallonnements de Mourcourt à Beclers</w:t>
            </w:r>
            <w:r w:rsidRPr="00BA5EB0">
              <w:rPr>
                <w:rFonts w:ascii="Comic Sans MS" w:hAnsi="Comic Sans MS"/>
                <w:sz w:val="20"/>
                <w:szCs w:val="20"/>
              </w:rPr>
              <w:br/>
            </w:r>
          </w:p>
        </w:tc>
        <w:tc>
          <w:tcPr>
            <w:tcW w:w="4544" w:type="dxa"/>
            <w:vAlign w:val="center"/>
            <w:hideMark/>
          </w:tcPr>
          <w:p w14:paraId="3446858F" w14:textId="77777777" w:rsidR="00860204" w:rsidRPr="00BA5EB0" w:rsidRDefault="00860204" w:rsidP="005B6BDB">
            <w:pPr>
              <w:jc w:val="both"/>
              <w:rPr>
                <w:rFonts w:ascii="Comic Sans MS" w:hAnsi="Comic Sans MS"/>
                <w:sz w:val="20"/>
                <w:szCs w:val="20"/>
              </w:rPr>
            </w:pPr>
            <w:r w:rsidRPr="00BA5EB0">
              <w:rPr>
                <w:rFonts w:ascii="Comic Sans MS" w:hAnsi="Comic Sans MS"/>
                <w:sz w:val="20"/>
                <w:szCs w:val="20"/>
              </w:rPr>
              <w:t xml:space="preserve">Cette entité a été globalement définie sur base du territoire paysager. A l’est, la limite a été fixée sur le pourtour du bassin versant de la Dendre. Maulde est ainsi rattaché au Bas-plateau limoneux hennuyer – faciès Versant de la Dendre. </w:t>
            </w:r>
          </w:p>
          <w:p w14:paraId="107E90C6" w14:textId="39E205D6" w:rsidR="00860204" w:rsidRPr="00BA5EB0" w:rsidRDefault="00860204" w:rsidP="00BA5EB0">
            <w:pPr>
              <w:jc w:val="both"/>
              <w:rPr>
                <w:rFonts w:ascii="Comic Sans MS" w:hAnsi="Comic Sans MS"/>
                <w:sz w:val="20"/>
                <w:szCs w:val="20"/>
              </w:rPr>
            </w:pPr>
            <w:r w:rsidRPr="00BA5EB0">
              <w:rPr>
                <w:rFonts w:ascii="Comic Sans MS" w:hAnsi="Comic Sans MS"/>
                <w:sz w:val="20"/>
                <w:szCs w:val="20"/>
              </w:rPr>
              <w:t>Deux faciès paysagers ont été définis : les Buttes qui comprend les hauteurs et se subdivise en deux parties (le Mont-Saint-Aubert au nord-ouest et Thimougies au nord-est) et les Vallonnements de Mourcourt à Beclers. Ce dernier faciès n'est pas homogène. Il comprend une petite zone de transition plus plane à l'ouest. Les noms ont été fixés sur base de spécificités géographique et locale (</w:t>
            </w:r>
            <w:r w:rsidR="00BA5EB0">
              <w:rPr>
                <w:rFonts w:ascii="Comic Sans MS" w:hAnsi="Comic Sans MS"/>
                <w:sz w:val="20"/>
                <w:szCs w:val="20"/>
              </w:rPr>
              <w:t>a</w:t>
            </w:r>
            <w:r w:rsidRPr="00BA5EB0">
              <w:rPr>
                <w:rFonts w:ascii="Comic Sans MS" w:hAnsi="Comic Sans MS"/>
                <w:sz w:val="20"/>
                <w:szCs w:val="20"/>
              </w:rPr>
              <w:t>insi Buttes a été préféré à Collines).</w:t>
            </w:r>
          </w:p>
        </w:tc>
      </w:tr>
    </w:tbl>
    <w:p w14:paraId="194F632D" w14:textId="77777777" w:rsidR="00860204" w:rsidRPr="00AD4C48" w:rsidRDefault="00860204" w:rsidP="00860204"/>
    <w:p w14:paraId="4D27724B" w14:textId="77777777" w:rsidR="003B2004" w:rsidRPr="00AD4C48" w:rsidRDefault="003B2004" w:rsidP="003B2004"/>
    <w:p w14:paraId="46B82BA2" w14:textId="47597CE2" w:rsidR="004976CF" w:rsidRDefault="004976CF" w:rsidP="00C5580B">
      <w:pPr>
        <w:jc w:val="both"/>
        <w:rPr>
          <w:rFonts w:ascii="Comic Sans MS" w:hAnsi="Comic Sans MS"/>
        </w:rPr>
      </w:pPr>
    </w:p>
    <w:p w14:paraId="109E17C1" w14:textId="77777777" w:rsidR="00340EA6" w:rsidRPr="00681905" w:rsidRDefault="00340EA6" w:rsidP="00C5580B">
      <w:pPr>
        <w:jc w:val="both"/>
        <w:rPr>
          <w:rFonts w:ascii="Comic Sans MS" w:hAnsi="Comic Sans MS"/>
        </w:rPr>
      </w:pPr>
    </w:p>
    <w:sectPr w:rsidR="00340EA6" w:rsidRPr="00681905" w:rsidSect="003B200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71D886" w14:textId="77777777" w:rsidR="005B6BDB" w:rsidRDefault="005B6BDB" w:rsidP="003C5A47">
      <w:pPr>
        <w:spacing w:after="0" w:line="240" w:lineRule="auto"/>
      </w:pPr>
      <w:r>
        <w:separator/>
      </w:r>
    </w:p>
  </w:endnote>
  <w:endnote w:type="continuationSeparator" w:id="0">
    <w:p w14:paraId="035458DB" w14:textId="77777777" w:rsidR="005B6BDB" w:rsidRDefault="005B6BDB" w:rsidP="003C5A47">
      <w:pPr>
        <w:spacing w:after="0" w:line="240" w:lineRule="auto"/>
      </w:pPr>
      <w:r>
        <w:continuationSeparator/>
      </w:r>
    </w:p>
  </w:endnote>
  <w:endnote w:type="continuationNotice" w:id="1">
    <w:p w14:paraId="5C8B3852" w14:textId="77777777" w:rsidR="00C67B12" w:rsidRDefault="00C67B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6F4BE8" w14:textId="77777777" w:rsidR="005B6BDB" w:rsidRDefault="005B6BDB" w:rsidP="003C5A47">
      <w:pPr>
        <w:spacing w:after="0" w:line="240" w:lineRule="auto"/>
      </w:pPr>
      <w:r>
        <w:separator/>
      </w:r>
    </w:p>
  </w:footnote>
  <w:footnote w:type="continuationSeparator" w:id="0">
    <w:p w14:paraId="2F8E0541" w14:textId="77777777" w:rsidR="005B6BDB" w:rsidRDefault="005B6BDB" w:rsidP="003C5A47">
      <w:pPr>
        <w:spacing w:after="0" w:line="240" w:lineRule="auto"/>
      </w:pPr>
      <w:r>
        <w:continuationSeparator/>
      </w:r>
    </w:p>
  </w:footnote>
  <w:footnote w:type="continuationNotice" w:id="1">
    <w:p w14:paraId="7B4DC123" w14:textId="77777777" w:rsidR="00C67B12" w:rsidRDefault="00C67B12">
      <w:pPr>
        <w:spacing w:after="0" w:line="240" w:lineRule="auto"/>
      </w:pPr>
    </w:p>
  </w:footnote>
  <w:footnote w:id="2">
    <w:p w14:paraId="36F1B8F6" w14:textId="48E07B7D" w:rsidR="005B6BDB" w:rsidRDefault="005B6BDB" w:rsidP="003C5A47">
      <w:pPr>
        <w:pStyle w:val="Notedebasdepage"/>
        <w:jc w:val="both"/>
      </w:pPr>
      <w:r>
        <w:rPr>
          <w:rStyle w:val="Appelnotedebasdep"/>
        </w:rPr>
        <w:footnoteRef/>
      </w:r>
      <w:r>
        <w:t xml:space="preserve"> </w:t>
      </w:r>
      <w:r w:rsidRPr="003C5A47">
        <w:rPr>
          <w:rFonts w:ascii="Comic Sans MS" w:hAnsi="Comic Sans MS"/>
          <w:sz w:val="16"/>
          <w:szCs w:val="16"/>
        </w:rPr>
        <w:t xml:space="preserve">Bien avant la création du PNPE en 1996, la Région Wallonne et la Région Nord-Pas de Calais </w:t>
      </w:r>
      <w:r>
        <w:rPr>
          <w:rFonts w:ascii="Comic Sans MS" w:hAnsi="Comic Sans MS"/>
          <w:sz w:val="16"/>
          <w:szCs w:val="16"/>
        </w:rPr>
        <w:t>avaient signé en 1983</w:t>
      </w:r>
      <w:r w:rsidRPr="003C5A47">
        <w:rPr>
          <w:rFonts w:ascii="Comic Sans MS" w:hAnsi="Comic Sans MS"/>
          <w:sz w:val="16"/>
          <w:szCs w:val="16"/>
        </w:rPr>
        <w:t xml:space="preserve"> un protocole d’accord pour l</w:t>
      </w:r>
      <w:r>
        <w:rPr>
          <w:rFonts w:ascii="Comic Sans MS" w:hAnsi="Comic Sans MS"/>
          <w:sz w:val="16"/>
          <w:szCs w:val="16"/>
        </w:rPr>
        <w:t>a création d’un parc naturel «supra-frontalier</w:t>
      </w:r>
      <w:r w:rsidRPr="003C5A47">
        <w:rPr>
          <w:rFonts w:ascii="Comic Sans MS" w:hAnsi="Comic Sans MS"/>
          <w:sz w:val="16"/>
          <w:szCs w:val="16"/>
        </w:rPr>
        <w:t xml:space="preserve"> » dans les plaines traversées par la rivière Scarpe et le fleuve Escaut</w:t>
      </w:r>
      <w:r>
        <w:rPr>
          <w:rFonts w:ascii="Comic Sans MS" w:hAnsi="Comic Sans MS"/>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DA0CFF"/>
    <w:multiLevelType w:val="hybridMultilevel"/>
    <w:tmpl w:val="69D465BC"/>
    <w:lvl w:ilvl="0" w:tplc="F18E9CCA">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65331841"/>
    <w:multiLevelType w:val="hybridMultilevel"/>
    <w:tmpl w:val="CDC6B4B8"/>
    <w:lvl w:ilvl="0" w:tplc="75801AA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905"/>
    <w:rsid w:val="00072355"/>
    <w:rsid w:val="00185DFF"/>
    <w:rsid w:val="001F32FF"/>
    <w:rsid w:val="002A5F13"/>
    <w:rsid w:val="00340EA6"/>
    <w:rsid w:val="003820AD"/>
    <w:rsid w:val="003B2004"/>
    <w:rsid w:val="003C5A47"/>
    <w:rsid w:val="00483428"/>
    <w:rsid w:val="00485758"/>
    <w:rsid w:val="004976CF"/>
    <w:rsid w:val="004C4972"/>
    <w:rsid w:val="005B6BDB"/>
    <w:rsid w:val="0060102D"/>
    <w:rsid w:val="00626B87"/>
    <w:rsid w:val="00671E05"/>
    <w:rsid w:val="00681905"/>
    <w:rsid w:val="006C3430"/>
    <w:rsid w:val="00704485"/>
    <w:rsid w:val="00715D72"/>
    <w:rsid w:val="007D4C4F"/>
    <w:rsid w:val="0081315A"/>
    <w:rsid w:val="00820F53"/>
    <w:rsid w:val="008521F8"/>
    <w:rsid w:val="00860204"/>
    <w:rsid w:val="00885603"/>
    <w:rsid w:val="008873EF"/>
    <w:rsid w:val="00895B3A"/>
    <w:rsid w:val="008A53AD"/>
    <w:rsid w:val="008E4AA8"/>
    <w:rsid w:val="009458C3"/>
    <w:rsid w:val="009F12D3"/>
    <w:rsid w:val="00A50FD9"/>
    <w:rsid w:val="00A54CB1"/>
    <w:rsid w:val="00A71232"/>
    <w:rsid w:val="00A84EC7"/>
    <w:rsid w:val="00A97182"/>
    <w:rsid w:val="00AD5BE8"/>
    <w:rsid w:val="00B44AD6"/>
    <w:rsid w:val="00BA5EB0"/>
    <w:rsid w:val="00BE501B"/>
    <w:rsid w:val="00C27A9F"/>
    <w:rsid w:val="00C5580B"/>
    <w:rsid w:val="00C67B12"/>
    <w:rsid w:val="00CE3AE1"/>
    <w:rsid w:val="00E52AAB"/>
    <w:rsid w:val="00EB03F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87570"/>
  <w15:chartTrackingRefBased/>
  <w15:docId w15:val="{B041AC3E-0656-4EEE-8E87-C7EE13A04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54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04485"/>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normaltextrun">
    <w:name w:val="normaltextrun"/>
    <w:basedOn w:val="Policepardfaut"/>
    <w:rsid w:val="00704485"/>
  </w:style>
  <w:style w:type="character" w:customStyle="1" w:styleId="contextualspellingandgrammarerror">
    <w:name w:val="contextualspellingandgrammarerror"/>
    <w:basedOn w:val="Policepardfaut"/>
    <w:rsid w:val="00704485"/>
  </w:style>
  <w:style w:type="character" w:customStyle="1" w:styleId="eop">
    <w:name w:val="eop"/>
    <w:basedOn w:val="Policepardfaut"/>
    <w:rsid w:val="00704485"/>
  </w:style>
  <w:style w:type="character" w:customStyle="1" w:styleId="spellingerror">
    <w:name w:val="spellingerror"/>
    <w:basedOn w:val="Policepardfaut"/>
    <w:rsid w:val="00704485"/>
  </w:style>
  <w:style w:type="character" w:styleId="Marquedecommentaire">
    <w:name w:val="annotation reference"/>
    <w:basedOn w:val="Policepardfaut"/>
    <w:uiPriority w:val="99"/>
    <w:semiHidden/>
    <w:unhideWhenUsed/>
    <w:rsid w:val="00CE3AE1"/>
    <w:rPr>
      <w:sz w:val="16"/>
      <w:szCs w:val="16"/>
    </w:rPr>
  </w:style>
  <w:style w:type="paragraph" w:styleId="Commentaire">
    <w:name w:val="annotation text"/>
    <w:basedOn w:val="Normal"/>
    <w:link w:val="CommentaireCar"/>
    <w:uiPriority w:val="99"/>
    <w:semiHidden/>
    <w:unhideWhenUsed/>
    <w:rsid w:val="00CE3AE1"/>
    <w:pPr>
      <w:spacing w:line="240" w:lineRule="auto"/>
    </w:pPr>
    <w:rPr>
      <w:sz w:val="20"/>
      <w:szCs w:val="20"/>
    </w:rPr>
  </w:style>
  <w:style w:type="character" w:customStyle="1" w:styleId="CommentaireCar">
    <w:name w:val="Commentaire Car"/>
    <w:basedOn w:val="Policepardfaut"/>
    <w:link w:val="Commentaire"/>
    <w:uiPriority w:val="99"/>
    <w:semiHidden/>
    <w:rsid w:val="00CE3AE1"/>
    <w:rPr>
      <w:sz w:val="20"/>
      <w:szCs w:val="20"/>
    </w:rPr>
  </w:style>
  <w:style w:type="paragraph" w:styleId="Objetducommentaire">
    <w:name w:val="annotation subject"/>
    <w:basedOn w:val="Commentaire"/>
    <w:next w:val="Commentaire"/>
    <w:link w:val="ObjetducommentaireCar"/>
    <w:uiPriority w:val="99"/>
    <w:semiHidden/>
    <w:unhideWhenUsed/>
    <w:rsid w:val="00CE3AE1"/>
    <w:rPr>
      <w:b/>
      <w:bCs/>
    </w:rPr>
  </w:style>
  <w:style w:type="character" w:customStyle="1" w:styleId="ObjetducommentaireCar">
    <w:name w:val="Objet du commentaire Car"/>
    <w:basedOn w:val="CommentaireCar"/>
    <w:link w:val="Objetducommentaire"/>
    <w:uiPriority w:val="99"/>
    <w:semiHidden/>
    <w:rsid w:val="00CE3AE1"/>
    <w:rPr>
      <w:b/>
      <w:bCs/>
      <w:sz w:val="20"/>
      <w:szCs w:val="20"/>
    </w:rPr>
  </w:style>
  <w:style w:type="paragraph" w:styleId="Textedebulles">
    <w:name w:val="Balloon Text"/>
    <w:basedOn w:val="Normal"/>
    <w:link w:val="TextedebullesCar"/>
    <w:uiPriority w:val="99"/>
    <w:semiHidden/>
    <w:unhideWhenUsed/>
    <w:rsid w:val="00CE3AE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E3AE1"/>
    <w:rPr>
      <w:rFonts w:ascii="Segoe UI" w:hAnsi="Segoe UI" w:cs="Segoe UI"/>
      <w:sz w:val="18"/>
      <w:szCs w:val="18"/>
    </w:rPr>
  </w:style>
  <w:style w:type="paragraph" w:styleId="Notedebasdepage">
    <w:name w:val="footnote text"/>
    <w:basedOn w:val="Normal"/>
    <w:link w:val="NotedebasdepageCar"/>
    <w:uiPriority w:val="99"/>
    <w:semiHidden/>
    <w:unhideWhenUsed/>
    <w:rsid w:val="003C5A4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C5A47"/>
    <w:rPr>
      <w:sz w:val="20"/>
      <w:szCs w:val="20"/>
    </w:rPr>
  </w:style>
  <w:style w:type="character" w:styleId="Appelnotedebasdep">
    <w:name w:val="footnote reference"/>
    <w:basedOn w:val="Policepardfaut"/>
    <w:uiPriority w:val="99"/>
    <w:semiHidden/>
    <w:unhideWhenUsed/>
    <w:rsid w:val="003C5A47"/>
    <w:rPr>
      <w:vertAlign w:val="superscript"/>
    </w:rPr>
  </w:style>
  <w:style w:type="paragraph" w:styleId="Lgende">
    <w:name w:val="caption"/>
    <w:basedOn w:val="Normal"/>
    <w:next w:val="Normal"/>
    <w:uiPriority w:val="35"/>
    <w:unhideWhenUsed/>
    <w:qFormat/>
    <w:rsid w:val="008E4AA8"/>
    <w:pPr>
      <w:spacing w:after="200" w:line="240" w:lineRule="auto"/>
    </w:pPr>
    <w:rPr>
      <w:i/>
      <w:iCs/>
      <w:color w:val="44546A" w:themeColor="text2"/>
      <w:sz w:val="18"/>
      <w:szCs w:val="18"/>
    </w:rPr>
  </w:style>
  <w:style w:type="paragraph" w:styleId="En-tte">
    <w:name w:val="header"/>
    <w:basedOn w:val="Normal"/>
    <w:link w:val="En-tteCar"/>
    <w:uiPriority w:val="99"/>
    <w:semiHidden/>
    <w:unhideWhenUsed/>
    <w:rsid w:val="00C67B1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67B12"/>
  </w:style>
  <w:style w:type="paragraph" w:styleId="Pieddepage">
    <w:name w:val="footer"/>
    <w:basedOn w:val="Normal"/>
    <w:link w:val="PieddepageCar"/>
    <w:uiPriority w:val="99"/>
    <w:semiHidden/>
    <w:unhideWhenUsed/>
    <w:rsid w:val="00C67B12"/>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C67B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6434267">
      <w:bodyDiv w:val="1"/>
      <w:marLeft w:val="0"/>
      <w:marRight w:val="0"/>
      <w:marTop w:val="0"/>
      <w:marBottom w:val="0"/>
      <w:divBdr>
        <w:top w:val="none" w:sz="0" w:space="0" w:color="auto"/>
        <w:left w:val="none" w:sz="0" w:space="0" w:color="auto"/>
        <w:bottom w:val="none" w:sz="0" w:space="0" w:color="auto"/>
        <w:right w:val="none" w:sz="0" w:space="0" w:color="auto"/>
      </w:divBdr>
    </w:div>
    <w:div w:id="1690794152">
      <w:bodyDiv w:val="1"/>
      <w:marLeft w:val="0"/>
      <w:marRight w:val="0"/>
      <w:marTop w:val="0"/>
      <w:marBottom w:val="0"/>
      <w:divBdr>
        <w:top w:val="none" w:sz="0" w:space="0" w:color="auto"/>
        <w:left w:val="none" w:sz="0" w:space="0" w:color="auto"/>
        <w:bottom w:val="none" w:sz="0" w:space="0" w:color="auto"/>
        <w:right w:val="none" w:sz="0" w:space="0" w:color="auto"/>
      </w:divBdr>
    </w:div>
    <w:div w:id="174426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0AE194E477E04AABB0667E660DBC34" ma:contentTypeVersion="11" ma:contentTypeDescription="Crée un document." ma:contentTypeScope="" ma:versionID="86f4e468de91932969e4a20dc387188c">
  <xsd:schema xmlns:xsd="http://www.w3.org/2001/XMLSchema" xmlns:xs="http://www.w3.org/2001/XMLSchema" xmlns:p="http://schemas.microsoft.com/office/2006/metadata/properties" xmlns:ns3="05c216d4-f196-4d49-ab8c-6eab5fdbaafc" xmlns:ns4="a11b5425-b208-4c70-973e-984dea18d326" targetNamespace="http://schemas.microsoft.com/office/2006/metadata/properties" ma:root="true" ma:fieldsID="55cb0b0dfd0f9879887f46968138246a" ns3:_="" ns4:_="">
    <xsd:import namespace="05c216d4-f196-4d49-ab8c-6eab5fdbaafc"/>
    <xsd:import namespace="a11b5425-b208-4c70-973e-984dea18d32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c216d4-f196-4d49-ab8c-6eab5fdbaafc"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b5425-b208-4c70-973e-984dea18d32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BE022-9AD4-4DA5-93E4-074CABA4CA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c216d4-f196-4d49-ab8c-6eab5fdbaafc"/>
    <ds:schemaRef ds:uri="a11b5425-b208-4c70-973e-984dea18d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3C49B8-77F9-42F9-9BF7-9898B8EFDFE2}">
  <ds:schemaRefs>
    <ds:schemaRef ds:uri="http://schemas.microsoft.com/sharepoint/v3/contenttype/forms"/>
  </ds:schemaRefs>
</ds:datastoreItem>
</file>

<file path=customXml/itemProps3.xml><?xml version="1.0" encoding="utf-8"?>
<ds:datastoreItem xmlns:ds="http://schemas.openxmlformats.org/officeDocument/2006/customXml" ds:itemID="{E2C0585B-5F1A-43DE-BAC3-482C6A70ABF2}">
  <ds:schemaRefs>
    <ds:schemaRef ds:uri="05c216d4-f196-4d49-ab8c-6eab5fdbaafc"/>
    <ds:schemaRef ds:uri="http://schemas.microsoft.com/office/infopath/2007/PartnerControls"/>
    <ds:schemaRef ds:uri="http://purl.org/dc/dcmitype/"/>
    <ds:schemaRef ds:uri="http://schemas.openxmlformats.org/package/2006/metadata/core-properties"/>
    <ds:schemaRef ds:uri="http://purl.org/dc/elements/1.1/"/>
    <ds:schemaRef ds:uri="http://schemas.microsoft.com/office/2006/documentManagement/types"/>
    <ds:schemaRef ds:uri="a11b5425-b208-4c70-973e-984dea18d326"/>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A9F435D1-0609-4057-984D-482AF3D65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2194</Words>
  <Characters>12072</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Michèle Haine</dc:creator>
  <cp:keywords/>
  <dc:description/>
  <cp:lastModifiedBy>Daniel Bragard</cp:lastModifiedBy>
  <cp:revision>3</cp:revision>
  <cp:lastPrinted>2019-08-08T12:27:00Z</cp:lastPrinted>
  <dcterms:created xsi:type="dcterms:W3CDTF">2019-08-14T07:20:00Z</dcterms:created>
  <dcterms:modified xsi:type="dcterms:W3CDTF">2019-08-14T07:22:00Z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0x010100C70AE194E477E04AABB0667E660DBC34</vt:lpwstr>
  </property>
</Properties>
</file>